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AD35" w14:textId="77777777" w:rsidR="00844B0F" w:rsidRPr="00B07B0D" w:rsidRDefault="00844B0F" w:rsidP="00844B0F">
      <w:pPr>
        <w:rPr>
          <w:rFonts w:ascii="Times New Roman" w:hAnsi="Times New Roman"/>
          <w:b/>
          <w:sz w:val="20"/>
          <w:szCs w:val="20"/>
          <w:lang w:val="en-US"/>
        </w:rPr>
      </w:pPr>
      <w:bookmarkStart w:id="0" w:name="_Ref532748372"/>
      <w:r w:rsidRPr="00B07B0D">
        <w:rPr>
          <w:rFonts w:ascii="Times New Roman" w:hAnsi="Times New Roman"/>
          <w:b/>
          <w:sz w:val="20"/>
          <w:szCs w:val="20"/>
          <w:lang w:val="en-US"/>
        </w:rPr>
        <w:t>Accounting and Management Information Systems</w:t>
      </w:r>
    </w:p>
    <w:p w14:paraId="0261BA47" w14:textId="70A88376" w:rsidR="00844B0F" w:rsidRPr="00B07B0D" w:rsidRDefault="00844B0F" w:rsidP="00844B0F">
      <w:pPr>
        <w:rPr>
          <w:rFonts w:ascii="Times New Roman" w:hAnsi="Times New Roman"/>
          <w:b/>
          <w:sz w:val="20"/>
          <w:szCs w:val="20"/>
          <w:lang w:val="en-US"/>
        </w:rPr>
      </w:pPr>
      <w:r w:rsidRPr="00B07B0D">
        <w:rPr>
          <w:rFonts w:ascii="Times New Roman" w:hAnsi="Times New Roman"/>
          <w:b/>
          <w:sz w:val="20"/>
          <w:szCs w:val="20"/>
          <w:lang w:val="en-US"/>
        </w:rPr>
        <w:t xml:space="preserve">Vol. </w:t>
      </w:r>
      <w:r w:rsidR="003A5409">
        <w:rPr>
          <w:rFonts w:ascii="Times New Roman" w:hAnsi="Times New Roman"/>
          <w:b/>
          <w:sz w:val="20"/>
          <w:szCs w:val="20"/>
          <w:lang w:val="en-US"/>
        </w:rPr>
        <w:t>25</w:t>
      </w:r>
      <w:r w:rsidRPr="00B07B0D">
        <w:rPr>
          <w:rFonts w:ascii="Times New Roman" w:hAnsi="Times New Roman"/>
          <w:b/>
          <w:sz w:val="20"/>
          <w:szCs w:val="20"/>
          <w:lang w:val="en-US"/>
        </w:rPr>
        <w:t xml:space="preserve">, No. </w:t>
      </w:r>
      <w:r w:rsidR="003A5409">
        <w:rPr>
          <w:rFonts w:ascii="Times New Roman" w:hAnsi="Times New Roman"/>
          <w:b/>
          <w:sz w:val="20"/>
          <w:szCs w:val="20"/>
          <w:lang w:val="en-US"/>
        </w:rPr>
        <w:t>2</w:t>
      </w:r>
      <w:r w:rsidRPr="00B07B0D">
        <w:rPr>
          <w:rFonts w:ascii="Times New Roman" w:hAnsi="Times New Roman"/>
          <w:b/>
          <w:sz w:val="20"/>
          <w:szCs w:val="20"/>
          <w:lang w:val="en-US"/>
        </w:rPr>
        <w:t xml:space="preserve">, pp. </w:t>
      </w:r>
      <w:r w:rsidR="001664C4">
        <w:rPr>
          <w:rFonts w:ascii="Times New Roman" w:hAnsi="Times New Roman"/>
          <w:b/>
          <w:sz w:val="20"/>
          <w:szCs w:val="20"/>
          <w:lang w:val="en-US"/>
        </w:rPr>
        <w:t>203</w:t>
      </w:r>
      <w:r w:rsidRPr="001664C4">
        <w:rPr>
          <w:rFonts w:ascii="Times New Roman" w:hAnsi="Times New Roman"/>
          <w:b/>
          <w:sz w:val="20"/>
          <w:szCs w:val="20"/>
          <w:lang w:val="en-US"/>
        </w:rPr>
        <w:t>-</w:t>
      </w:r>
      <w:r w:rsidR="005A0A2C">
        <w:rPr>
          <w:rFonts w:ascii="Times New Roman" w:hAnsi="Times New Roman"/>
          <w:b/>
          <w:sz w:val="20"/>
          <w:szCs w:val="20"/>
          <w:lang w:val="en-US"/>
        </w:rPr>
        <w:t>230</w:t>
      </w:r>
      <w:r w:rsidRPr="00B07B0D">
        <w:rPr>
          <w:rFonts w:ascii="Times New Roman" w:hAnsi="Times New Roman"/>
          <w:b/>
          <w:sz w:val="20"/>
          <w:szCs w:val="20"/>
          <w:lang w:val="en-US"/>
        </w:rPr>
        <w:t>, 202</w:t>
      </w:r>
      <w:r w:rsidR="003A5409">
        <w:rPr>
          <w:rFonts w:ascii="Times New Roman" w:hAnsi="Times New Roman"/>
          <w:b/>
          <w:sz w:val="20"/>
          <w:szCs w:val="20"/>
          <w:lang w:val="en-US"/>
        </w:rPr>
        <w:t>6</w:t>
      </w:r>
    </w:p>
    <w:p w14:paraId="7A33D82F" w14:textId="6D9194FF" w:rsidR="00844B0F" w:rsidRPr="00B07B0D" w:rsidRDefault="00844B0F" w:rsidP="00844B0F">
      <w:pPr>
        <w:pStyle w:val="Default"/>
        <w:rPr>
          <w:b/>
          <w:bCs/>
          <w:sz w:val="36"/>
          <w:szCs w:val="36"/>
          <w:lang w:val="en-US"/>
        </w:rPr>
      </w:pPr>
      <w:r w:rsidRPr="00B07B0D">
        <w:rPr>
          <w:b/>
          <w:sz w:val="20"/>
          <w:szCs w:val="20"/>
          <w:lang w:val="en-US"/>
        </w:rPr>
        <w:t xml:space="preserve">DOI: </w:t>
      </w:r>
      <w:r w:rsidRPr="00B07B0D">
        <w:rPr>
          <w:sz w:val="20"/>
          <w:szCs w:val="20"/>
          <w:shd w:val="clear" w:color="auto" w:fill="FFFFFF"/>
          <w:lang w:val="en-US"/>
        </w:rPr>
        <w:t>http://dx.doi.org/10.24818/jamis.202</w:t>
      </w:r>
      <w:r w:rsidR="003A5409">
        <w:rPr>
          <w:sz w:val="20"/>
          <w:szCs w:val="20"/>
          <w:shd w:val="clear" w:color="auto" w:fill="FFFFFF"/>
          <w:lang w:val="en-US"/>
        </w:rPr>
        <w:t>6</w:t>
      </w:r>
      <w:r w:rsidRPr="00B07B0D">
        <w:rPr>
          <w:sz w:val="20"/>
          <w:szCs w:val="20"/>
          <w:shd w:val="clear" w:color="auto" w:fill="FFFFFF"/>
          <w:lang w:val="en-US"/>
        </w:rPr>
        <w:t>.0</w:t>
      </w:r>
      <w:r w:rsidR="003A5409">
        <w:rPr>
          <w:sz w:val="20"/>
          <w:szCs w:val="20"/>
          <w:shd w:val="clear" w:color="auto" w:fill="FFFFFF"/>
          <w:lang w:val="en-US"/>
        </w:rPr>
        <w:t>2</w:t>
      </w:r>
      <w:r w:rsidRPr="00B07B0D">
        <w:rPr>
          <w:sz w:val="20"/>
          <w:szCs w:val="20"/>
          <w:shd w:val="clear" w:color="auto" w:fill="FFFFFF"/>
          <w:lang w:val="en-US"/>
        </w:rPr>
        <w:t>00</w:t>
      </w:r>
      <w:r w:rsidR="007F1E44">
        <w:rPr>
          <w:sz w:val="20"/>
          <w:szCs w:val="20"/>
          <w:shd w:val="clear" w:color="auto" w:fill="FFFFFF"/>
          <w:lang w:val="en-US"/>
        </w:rPr>
        <w:t>2</w:t>
      </w:r>
    </w:p>
    <w:p w14:paraId="6AFFA819" w14:textId="77777777" w:rsidR="00844B0F" w:rsidRPr="00B07B0D" w:rsidRDefault="00844B0F" w:rsidP="0054394F">
      <w:pPr>
        <w:rPr>
          <w:b/>
          <w:bCs/>
          <w:lang w:val="en-US"/>
        </w:rPr>
      </w:pPr>
    </w:p>
    <w:p w14:paraId="49487D85" w14:textId="4D2A4E03" w:rsidR="0054394F" w:rsidRPr="00B07B0D" w:rsidRDefault="001E3A1E" w:rsidP="0054394F">
      <w:pPr>
        <w:rPr>
          <w:b/>
          <w:bCs/>
          <w:sz w:val="36"/>
          <w:szCs w:val="40"/>
          <w:lang w:val="en-US"/>
        </w:rPr>
      </w:pPr>
      <w:bookmarkStart w:id="1" w:name="_Hlk231955890"/>
      <w:r w:rsidRPr="00B07B0D">
        <w:rPr>
          <w:b/>
          <w:bCs/>
          <w:sz w:val="36"/>
          <w:szCs w:val="40"/>
          <w:lang w:val="en-US"/>
        </w:rPr>
        <w:t>The relationship between corporate governance mechanisms and financial performance</w:t>
      </w:r>
      <w:bookmarkEnd w:id="1"/>
    </w:p>
    <w:p w14:paraId="48B0E4CA" w14:textId="77777777" w:rsidR="0047370E" w:rsidRPr="00B07B0D" w:rsidRDefault="0047370E" w:rsidP="00B82AD7">
      <w:pPr>
        <w:rPr>
          <w:lang w:val="en-US"/>
        </w:rPr>
      </w:pPr>
    </w:p>
    <w:p w14:paraId="351CF02A" w14:textId="1503F11B" w:rsidR="00844B0F" w:rsidRPr="00B07B0D" w:rsidRDefault="00844B0F" w:rsidP="00B82AD7">
      <w:pPr>
        <w:rPr>
          <w:rFonts w:ascii="Times New Roman" w:hAnsi="Times New Roman" w:cs="Times New Roman"/>
          <w:sz w:val="28"/>
          <w:szCs w:val="28"/>
          <w:lang w:val="en-US"/>
        </w:rPr>
      </w:pPr>
      <w:bookmarkStart w:id="2" w:name="_Hlk231955920"/>
      <w:r w:rsidRPr="00B07B0D">
        <w:rPr>
          <w:rFonts w:ascii="Times New Roman" w:hAnsi="Times New Roman" w:cs="Times New Roman"/>
          <w:sz w:val="28"/>
          <w:szCs w:val="28"/>
          <w:lang w:val="en-US"/>
        </w:rPr>
        <w:t xml:space="preserve">Mădălina </w:t>
      </w:r>
      <w:proofErr w:type="spellStart"/>
      <w:r w:rsidRPr="00B07B0D">
        <w:rPr>
          <w:rFonts w:ascii="Times New Roman" w:hAnsi="Times New Roman" w:cs="Times New Roman"/>
          <w:sz w:val="28"/>
          <w:szCs w:val="28"/>
          <w:lang w:val="en-US"/>
        </w:rPr>
        <w:t>Preda</w:t>
      </w:r>
      <w:bookmarkEnd w:id="2"/>
      <w:proofErr w:type="spellEnd"/>
      <w:r w:rsidRPr="00B07B0D">
        <w:rPr>
          <w:rStyle w:val="FootnoteReference"/>
          <w:rFonts w:ascii="Times New Roman" w:hAnsi="Times New Roman" w:cs="Times New Roman"/>
          <w:sz w:val="28"/>
          <w:szCs w:val="28"/>
          <w:lang w:val="en-US"/>
        </w:rPr>
        <w:footnoteReference w:id="1"/>
      </w:r>
      <w:r w:rsidRPr="00B07B0D">
        <w:rPr>
          <w:rFonts w:ascii="Times New Roman" w:hAnsi="Times New Roman" w:cs="Times New Roman"/>
          <w:sz w:val="28"/>
          <w:szCs w:val="28"/>
          <w:vertAlign w:val="superscript"/>
          <w:lang w:val="en-US"/>
        </w:rPr>
        <w:t>,a</w:t>
      </w:r>
      <w:r w:rsidRPr="00B07B0D">
        <w:rPr>
          <w:rFonts w:ascii="Times New Roman" w:hAnsi="Times New Roman" w:cs="Times New Roman"/>
          <w:sz w:val="28"/>
          <w:szCs w:val="28"/>
          <w:lang w:val="en-US"/>
        </w:rPr>
        <w:t xml:space="preserve"> and </w:t>
      </w:r>
      <w:bookmarkStart w:id="3" w:name="_Hlk231955926"/>
      <w:r w:rsidRPr="00B07B0D">
        <w:rPr>
          <w:rFonts w:ascii="Times New Roman" w:hAnsi="Times New Roman" w:cs="Times New Roman"/>
          <w:sz w:val="28"/>
          <w:szCs w:val="28"/>
          <w:lang w:val="en-US"/>
        </w:rPr>
        <w:t>Alexandra Ștefan</w:t>
      </w:r>
      <w:bookmarkEnd w:id="3"/>
      <w:r w:rsidRPr="00B07B0D">
        <w:rPr>
          <w:rFonts w:ascii="Times New Roman" w:hAnsi="Times New Roman" w:cs="Times New Roman"/>
          <w:sz w:val="28"/>
          <w:szCs w:val="28"/>
          <w:vertAlign w:val="superscript"/>
          <w:lang w:val="en-US"/>
        </w:rPr>
        <w:t xml:space="preserve"> a</w:t>
      </w:r>
    </w:p>
    <w:p w14:paraId="4C7C03EA" w14:textId="77777777" w:rsidR="00844B0F" w:rsidRPr="00B07B0D" w:rsidRDefault="00844B0F" w:rsidP="00B82AD7">
      <w:pPr>
        <w:rPr>
          <w:lang w:val="en-US"/>
        </w:rPr>
      </w:pPr>
    </w:p>
    <w:p w14:paraId="6F29278C" w14:textId="2A105C71" w:rsidR="00844B0F" w:rsidRPr="00B07B0D" w:rsidRDefault="00844B0F" w:rsidP="00B82AD7">
      <w:pPr>
        <w:rPr>
          <w:i/>
          <w:iCs/>
          <w:sz w:val="24"/>
          <w:lang w:val="en-US"/>
        </w:rPr>
      </w:pPr>
      <w:proofErr w:type="spellStart"/>
      <w:r w:rsidRPr="00B07B0D">
        <w:rPr>
          <w:i/>
          <w:iCs/>
          <w:sz w:val="24"/>
          <w:vertAlign w:val="superscript"/>
          <w:lang w:val="en-US"/>
        </w:rPr>
        <w:t>a</w:t>
      </w:r>
      <w:r w:rsidRPr="00B07B0D">
        <w:rPr>
          <w:i/>
          <w:iCs/>
          <w:sz w:val="24"/>
          <w:lang w:val="en-US"/>
        </w:rPr>
        <w:t>Doctoral</w:t>
      </w:r>
      <w:proofErr w:type="spellEnd"/>
      <w:r w:rsidRPr="00B07B0D">
        <w:rPr>
          <w:i/>
          <w:iCs/>
          <w:sz w:val="24"/>
          <w:lang w:val="en-US"/>
        </w:rPr>
        <w:t xml:space="preserve"> School of Accounting, Bucharest University of Economic Studies</w:t>
      </w:r>
    </w:p>
    <w:p w14:paraId="64FFFE9E" w14:textId="77777777" w:rsidR="00844B0F" w:rsidRPr="00B07B0D" w:rsidRDefault="00844B0F" w:rsidP="00B82AD7">
      <w:pPr>
        <w:rPr>
          <w:lang w:val="en-US"/>
        </w:rPr>
      </w:pPr>
    </w:p>
    <w:p w14:paraId="5DA79055" w14:textId="77777777" w:rsidR="004B43AB" w:rsidRPr="00B07B0D" w:rsidRDefault="004B43AB" w:rsidP="004E3A79">
      <w:pPr>
        <w:rPr>
          <w:b/>
          <w:bCs/>
          <w:sz w:val="28"/>
          <w:szCs w:val="32"/>
          <w:lang w:val="en-US"/>
        </w:rPr>
      </w:pPr>
      <w:r w:rsidRPr="00B07B0D">
        <w:rPr>
          <w:b/>
          <w:bCs/>
          <w:sz w:val="28"/>
          <w:szCs w:val="32"/>
          <w:lang w:val="en-US"/>
        </w:rPr>
        <w:t xml:space="preserve">Abstract </w:t>
      </w:r>
    </w:p>
    <w:p w14:paraId="5879FC56" w14:textId="56CBF0D0" w:rsidR="00506516" w:rsidRPr="00B07B0D" w:rsidRDefault="006710C7" w:rsidP="00DF3816">
      <w:pPr>
        <w:rPr>
          <w:sz w:val="20"/>
          <w:szCs w:val="20"/>
          <w:lang w:val="en-US"/>
        </w:rPr>
      </w:pPr>
      <w:r w:rsidRPr="00B07B0D">
        <w:rPr>
          <w:b/>
          <w:bCs/>
          <w:i/>
          <w:iCs/>
          <w:sz w:val="20"/>
          <w:szCs w:val="20"/>
          <w:lang w:val="en-US"/>
        </w:rPr>
        <w:t>Research Question:</w:t>
      </w:r>
      <w:r w:rsidRPr="00B07B0D">
        <w:rPr>
          <w:sz w:val="20"/>
          <w:szCs w:val="20"/>
          <w:lang w:val="en-US"/>
        </w:rPr>
        <w:t xml:space="preserve"> </w:t>
      </w:r>
      <w:r w:rsidR="00A77701" w:rsidRPr="00B07B0D">
        <w:rPr>
          <w:sz w:val="20"/>
          <w:szCs w:val="20"/>
          <w:lang w:val="en-US"/>
        </w:rPr>
        <w:t xml:space="preserve">What is the influence exerted by the characteristics of the board of directors on financial performance? </w:t>
      </w:r>
      <w:r w:rsidR="008259F6" w:rsidRPr="00B07B0D">
        <w:rPr>
          <w:sz w:val="20"/>
          <w:szCs w:val="20"/>
          <w:lang w:val="en-US"/>
        </w:rPr>
        <w:t>To what extent do the characteristics of the audit committee contribute to financial performance?</w:t>
      </w:r>
    </w:p>
    <w:p w14:paraId="540A911B" w14:textId="68E2492E" w:rsidR="00506516" w:rsidRPr="00B07B0D" w:rsidRDefault="006710C7" w:rsidP="008259F6">
      <w:pPr>
        <w:rPr>
          <w:sz w:val="20"/>
          <w:szCs w:val="20"/>
          <w:lang w:val="en-US"/>
        </w:rPr>
      </w:pPr>
      <w:r w:rsidRPr="00B07B0D">
        <w:rPr>
          <w:b/>
          <w:bCs/>
          <w:i/>
          <w:iCs/>
          <w:sz w:val="20"/>
          <w:szCs w:val="20"/>
          <w:lang w:val="en-US"/>
        </w:rPr>
        <w:t>Motivation:</w:t>
      </w:r>
      <w:r w:rsidR="008C14AF" w:rsidRPr="00B07B0D">
        <w:rPr>
          <w:sz w:val="20"/>
          <w:szCs w:val="20"/>
          <w:lang w:val="en-US"/>
        </w:rPr>
        <w:t xml:space="preserve"> </w:t>
      </w:r>
      <w:r w:rsidR="002D52CB" w:rsidRPr="00B07B0D">
        <w:rPr>
          <w:sz w:val="20"/>
          <w:szCs w:val="20"/>
          <w:lang w:val="en-US"/>
        </w:rPr>
        <w:t>In a business environment marked by rapid technological innovation, political instability, and climate challenges, concerns regarding the effectiveness of corporate governance mechanisms and their impact on companies’ financial performance have intensified. These events have highlighted the need to strengthen oversight and control structures to manage risks more effectively and protect investors’ interests. In this context, the effectiveness of the Board of Directors—assessed in terms of its size, independence, and the presence of non-executive members—represents the first line of defense in protecting investor interests and underpinning strategic decisions. At the same time, strengthening internal audit is essential for ensuring transparency and managing emerging risks. Consequently, corporate governance plays a vital role in ensuring the stability and sustainability of organizations. Within this dynamic, the need for gender diversity has been recognized as a strategic element that contributes not only to greater balance and transparency in the decision-making process but also to improved long-term financial performance.</w:t>
      </w:r>
    </w:p>
    <w:p w14:paraId="6B40B4BB" w14:textId="4C1E5FF3" w:rsidR="00506516" w:rsidRPr="00B07B0D" w:rsidRDefault="002D52CB" w:rsidP="008259F6">
      <w:pPr>
        <w:rPr>
          <w:sz w:val="20"/>
          <w:szCs w:val="20"/>
          <w:lang w:val="en-US"/>
        </w:rPr>
      </w:pPr>
      <w:r w:rsidRPr="00B07B0D">
        <w:rPr>
          <w:b/>
          <w:bCs/>
          <w:i/>
          <w:iCs/>
          <w:sz w:val="20"/>
          <w:szCs w:val="20"/>
          <w:lang w:val="en-US"/>
        </w:rPr>
        <w:t>Idea:</w:t>
      </w:r>
      <w:r w:rsidRPr="00B07B0D">
        <w:rPr>
          <w:sz w:val="20"/>
          <w:szCs w:val="20"/>
          <w:lang w:val="en-US"/>
        </w:rPr>
        <w:t xml:space="preserve"> The objective of this study is to analyze the relationship between corporate governance and financial performance (measured by EBITDA—Earnings Before Interest, Taxes, Depreciation, and Amortization) of publicly traded companies in Europe, with a focus on the influence of independence and gender diversity in decision-making bodies as well as in internal audit.</w:t>
      </w:r>
    </w:p>
    <w:p w14:paraId="6B91B0ED" w14:textId="0747BB87" w:rsidR="007D128D" w:rsidRPr="00B07B0D" w:rsidRDefault="00695997" w:rsidP="008259F6">
      <w:pPr>
        <w:rPr>
          <w:sz w:val="20"/>
          <w:szCs w:val="20"/>
          <w:lang w:val="en-US"/>
        </w:rPr>
      </w:pPr>
      <w:r w:rsidRPr="00B07B0D">
        <w:rPr>
          <w:b/>
          <w:bCs/>
          <w:i/>
          <w:iCs/>
          <w:sz w:val="20"/>
          <w:szCs w:val="20"/>
          <w:lang w:val="en-US"/>
        </w:rPr>
        <w:t xml:space="preserve">Data: </w:t>
      </w:r>
      <w:r w:rsidR="004C3224" w:rsidRPr="00B07B0D">
        <w:rPr>
          <w:sz w:val="20"/>
          <w:szCs w:val="20"/>
          <w:lang w:val="en-US"/>
        </w:rPr>
        <w:t xml:space="preserve">The research sample includes public companies in Europe that have published data in </w:t>
      </w:r>
      <w:r w:rsidR="001D2614" w:rsidRPr="00B07B0D">
        <w:rPr>
          <w:sz w:val="20"/>
          <w:szCs w:val="20"/>
          <w:lang w:val="en-US"/>
        </w:rPr>
        <w:t xml:space="preserve">LSEG Workspace database </w:t>
      </w:r>
      <w:r w:rsidR="004C3224" w:rsidRPr="00B07B0D">
        <w:rPr>
          <w:sz w:val="20"/>
          <w:szCs w:val="20"/>
          <w:lang w:val="en-US"/>
        </w:rPr>
        <w:t>for the period 2021–2024.</w:t>
      </w:r>
    </w:p>
    <w:p w14:paraId="56665445" w14:textId="311613DA" w:rsidR="00506516" w:rsidRPr="00B07B0D" w:rsidRDefault="00695997" w:rsidP="00B82AD7">
      <w:pPr>
        <w:rPr>
          <w:sz w:val="20"/>
          <w:szCs w:val="20"/>
          <w:lang w:val="en-US"/>
        </w:rPr>
      </w:pPr>
      <w:r w:rsidRPr="00B07B0D">
        <w:rPr>
          <w:b/>
          <w:bCs/>
          <w:i/>
          <w:iCs/>
          <w:sz w:val="20"/>
          <w:szCs w:val="20"/>
          <w:lang w:val="en-US"/>
        </w:rPr>
        <w:t>Tools:</w:t>
      </w:r>
      <w:r w:rsidRPr="00B07B0D">
        <w:rPr>
          <w:sz w:val="20"/>
          <w:szCs w:val="20"/>
          <w:lang w:val="en-US"/>
        </w:rPr>
        <w:t xml:space="preserve"> </w:t>
      </w:r>
      <w:r w:rsidR="008259F6" w:rsidRPr="00B07B0D">
        <w:rPr>
          <w:sz w:val="20"/>
          <w:szCs w:val="20"/>
          <w:lang w:val="en-US"/>
        </w:rPr>
        <w:t xml:space="preserve">This study employs a quantitative methodology based on a linear regression model developed using SPSS (Statistical Package for the Social Sciences), which enables the </w:t>
      </w:r>
      <w:r w:rsidR="008259F6" w:rsidRPr="00B07B0D">
        <w:rPr>
          <w:sz w:val="20"/>
          <w:szCs w:val="20"/>
          <w:lang w:val="en-US"/>
        </w:rPr>
        <w:lastRenderedPageBreak/>
        <w:t>analysis of the relationship between corporate governance and financial performance (measured by EBITDA).</w:t>
      </w:r>
    </w:p>
    <w:p w14:paraId="75F7AD55" w14:textId="370461D8" w:rsidR="00506516" w:rsidRPr="00B07B0D" w:rsidRDefault="00FE2F03" w:rsidP="00B82AD7">
      <w:pPr>
        <w:rPr>
          <w:sz w:val="20"/>
          <w:szCs w:val="20"/>
          <w:lang w:val="en-US"/>
        </w:rPr>
      </w:pPr>
      <w:r w:rsidRPr="00B07B0D">
        <w:rPr>
          <w:b/>
          <w:bCs/>
          <w:i/>
          <w:iCs/>
          <w:sz w:val="20"/>
          <w:szCs w:val="20"/>
          <w:lang w:val="en-US"/>
        </w:rPr>
        <w:t>Findings:</w:t>
      </w:r>
      <w:r w:rsidRPr="00B07B0D">
        <w:rPr>
          <w:sz w:val="20"/>
          <w:szCs w:val="20"/>
          <w:lang w:val="en-US"/>
        </w:rPr>
        <w:t xml:space="preserve"> </w:t>
      </w:r>
      <w:r w:rsidR="008259F6" w:rsidRPr="00B07B0D">
        <w:rPr>
          <w:sz w:val="20"/>
          <w:szCs w:val="20"/>
          <w:lang w:val="en-US"/>
        </w:rPr>
        <w:t>The research findings highlight that the structure of the board of directors, particularly its size, is positively associated with financial performance, unlike audit characteristics, which play a monitoring and compliance role without having a direct impact on operational profitability.</w:t>
      </w:r>
      <w:r w:rsidR="008259F6" w:rsidRPr="00B07B0D">
        <w:rPr>
          <w:lang w:val="en-US"/>
        </w:rPr>
        <w:t xml:space="preserve"> </w:t>
      </w:r>
      <w:r w:rsidR="008259F6" w:rsidRPr="00B07B0D">
        <w:rPr>
          <w:sz w:val="20"/>
          <w:szCs w:val="20"/>
          <w:lang w:val="en-US"/>
        </w:rPr>
        <w:t>This paper proposes the use of EBITDA (Earnings Before Interest, Taxes, Depreciation, and Amortization) as a financial performance indicator, given that the existing literature is relatively limited regarding this approach, with the use of indicators such as ROA and ROE being predominant. At the same time, this study adopts a comprehensive approach by integrating several corporate governance variables, thereby providing a more comprehensive analysis of oversight and control mechanisms.</w:t>
      </w:r>
    </w:p>
    <w:p w14:paraId="6A38CB1A" w14:textId="5EBBE969" w:rsidR="00FE2F03" w:rsidRPr="00B07B0D" w:rsidRDefault="00FE2F03" w:rsidP="00B82AD7">
      <w:pPr>
        <w:rPr>
          <w:sz w:val="20"/>
          <w:szCs w:val="20"/>
          <w:lang w:val="en-US"/>
        </w:rPr>
      </w:pPr>
      <w:r w:rsidRPr="00B07B0D">
        <w:rPr>
          <w:b/>
          <w:bCs/>
          <w:i/>
          <w:iCs/>
          <w:sz w:val="20"/>
          <w:szCs w:val="20"/>
          <w:lang w:val="en-US"/>
        </w:rPr>
        <w:t>Contribution:</w:t>
      </w:r>
      <w:r w:rsidRPr="00B07B0D">
        <w:rPr>
          <w:sz w:val="20"/>
          <w:szCs w:val="20"/>
          <w:lang w:val="en-US"/>
        </w:rPr>
        <w:t xml:space="preserve"> </w:t>
      </w:r>
      <w:r w:rsidR="004C3224" w:rsidRPr="00B07B0D">
        <w:rPr>
          <w:sz w:val="20"/>
          <w:szCs w:val="20"/>
          <w:lang w:val="en-US"/>
        </w:rPr>
        <w:t>The research thus offers valuable insights for regulators and corporate management in informing strategic decisions and developing effective corporate governance policies.</w:t>
      </w:r>
    </w:p>
    <w:p w14:paraId="1FD4A4A6" w14:textId="77777777" w:rsidR="00E23475" w:rsidRPr="00B07B0D" w:rsidRDefault="00E23475" w:rsidP="00E67F48">
      <w:pPr>
        <w:rPr>
          <w:b/>
          <w:bCs/>
          <w:sz w:val="20"/>
          <w:szCs w:val="28"/>
          <w:lang w:val="en-US"/>
        </w:rPr>
      </w:pPr>
    </w:p>
    <w:p w14:paraId="3BBD45FA" w14:textId="0CAFD01F" w:rsidR="00184200" w:rsidRPr="00B07B0D" w:rsidRDefault="00184200" w:rsidP="00E67F48">
      <w:pPr>
        <w:rPr>
          <w:sz w:val="20"/>
          <w:szCs w:val="20"/>
          <w:lang w:val="en-US"/>
        </w:rPr>
      </w:pPr>
      <w:r w:rsidRPr="00B07B0D">
        <w:rPr>
          <w:b/>
          <w:bCs/>
          <w:sz w:val="28"/>
          <w:szCs w:val="28"/>
          <w:lang w:val="en-US"/>
        </w:rPr>
        <w:t>Keywords</w:t>
      </w:r>
      <w:r w:rsidRPr="00B07B0D">
        <w:rPr>
          <w:b/>
          <w:bCs/>
          <w:lang w:val="en-US"/>
        </w:rPr>
        <w:t>:</w:t>
      </w:r>
      <w:r w:rsidRPr="00B07B0D">
        <w:rPr>
          <w:lang w:val="en-US"/>
        </w:rPr>
        <w:t xml:space="preserve"> </w:t>
      </w:r>
      <w:r w:rsidR="00844B0F" w:rsidRPr="00B07B0D">
        <w:rPr>
          <w:sz w:val="20"/>
          <w:szCs w:val="20"/>
          <w:lang w:val="en-US"/>
        </w:rPr>
        <w:t>corporate governance, audit committee, gender diversity, financial performance.</w:t>
      </w:r>
    </w:p>
    <w:p w14:paraId="67326135" w14:textId="77777777" w:rsidR="00B82AD7" w:rsidRPr="00B07B0D" w:rsidRDefault="00B82AD7" w:rsidP="00E67F48">
      <w:pPr>
        <w:rPr>
          <w:lang w:val="en-US"/>
        </w:rPr>
      </w:pPr>
    </w:p>
    <w:p w14:paraId="12C822D8" w14:textId="792F2E1C" w:rsidR="006D57F7" w:rsidRPr="00B07B0D" w:rsidRDefault="007D128D" w:rsidP="00E67F48">
      <w:pPr>
        <w:rPr>
          <w:b/>
          <w:bCs/>
          <w:lang w:val="en-US"/>
        </w:rPr>
      </w:pPr>
      <w:r w:rsidRPr="00B07B0D">
        <w:rPr>
          <w:b/>
          <w:bCs/>
          <w:sz w:val="28"/>
          <w:szCs w:val="28"/>
          <w:lang w:val="en-US"/>
        </w:rPr>
        <w:t>JEL codes</w:t>
      </w:r>
      <w:r w:rsidR="00125DE8" w:rsidRPr="00B07B0D">
        <w:rPr>
          <w:b/>
          <w:bCs/>
          <w:sz w:val="28"/>
          <w:szCs w:val="28"/>
          <w:lang w:val="en-US"/>
        </w:rPr>
        <w:t>:</w:t>
      </w:r>
      <w:r w:rsidR="00125DE8" w:rsidRPr="00B07B0D">
        <w:rPr>
          <w:b/>
          <w:bCs/>
          <w:lang w:val="en-US"/>
        </w:rPr>
        <w:t xml:space="preserve"> </w:t>
      </w:r>
      <w:r w:rsidR="00B73401" w:rsidRPr="00B07B0D">
        <w:rPr>
          <w:sz w:val="20"/>
          <w:szCs w:val="20"/>
          <w:lang w:val="en-US"/>
        </w:rPr>
        <w:t>G34, M42, M41</w:t>
      </w:r>
    </w:p>
    <w:p w14:paraId="0CF64AB0" w14:textId="77777777" w:rsidR="006E1013" w:rsidRPr="00B07B0D" w:rsidRDefault="006E1013" w:rsidP="00FE2F03">
      <w:pPr>
        <w:rPr>
          <w:b/>
          <w:bCs/>
          <w:lang w:val="en-US"/>
        </w:rPr>
      </w:pPr>
    </w:p>
    <w:p w14:paraId="77C13994" w14:textId="77777777" w:rsidR="00844B0F" w:rsidRPr="00B07B0D" w:rsidRDefault="00844B0F" w:rsidP="00FE2F03">
      <w:pPr>
        <w:rPr>
          <w:b/>
          <w:bCs/>
          <w:lang w:val="en-US"/>
        </w:rPr>
      </w:pPr>
    </w:p>
    <w:p w14:paraId="5F9BFC74" w14:textId="77777777" w:rsidR="00145C4F" w:rsidRPr="00B07B0D" w:rsidRDefault="004E3A79" w:rsidP="004E3A79">
      <w:pPr>
        <w:rPr>
          <w:b/>
          <w:bCs/>
          <w:sz w:val="28"/>
          <w:szCs w:val="32"/>
          <w:lang w:val="en-US"/>
        </w:rPr>
      </w:pPr>
      <w:bookmarkStart w:id="4" w:name="_Ref535857696"/>
      <w:r w:rsidRPr="00B07B0D">
        <w:rPr>
          <w:b/>
          <w:bCs/>
          <w:sz w:val="28"/>
          <w:szCs w:val="32"/>
          <w:lang w:val="en-US"/>
        </w:rPr>
        <w:t xml:space="preserve">1. </w:t>
      </w:r>
      <w:r w:rsidR="000D0058" w:rsidRPr="00B07B0D">
        <w:rPr>
          <w:b/>
          <w:bCs/>
          <w:sz w:val="28"/>
          <w:szCs w:val="32"/>
          <w:lang w:val="en-US"/>
        </w:rPr>
        <w:t>Introduction</w:t>
      </w:r>
      <w:bookmarkEnd w:id="0"/>
      <w:bookmarkEnd w:id="4"/>
      <w:r w:rsidR="000D0058" w:rsidRPr="00B07B0D">
        <w:rPr>
          <w:b/>
          <w:bCs/>
          <w:sz w:val="28"/>
          <w:szCs w:val="32"/>
          <w:lang w:val="en-US"/>
        </w:rPr>
        <w:t xml:space="preserve"> </w:t>
      </w:r>
    </w:p>
    <w:p w14:paraId="45872448" w14:textId="77777777" w:rsidR="000A1E7D" w:rsidRPr="00B07B0D" w:rsidRDefault="000A1E7D" w:rsidP="009201C8">
      <w:pPr>
        <w:rPr>
          <w:lang w:val="en-US"/>
        </w:rPr>
      </w:pPr>
    </w:p>
    <w:p w14:paraId="2347682B" w14:textId="1184DE75" w:rsidR="00ED60D2" w:rsidRPr="00B07B0D" w:rsidRDefault="00ED60D2" w:rsidP="00ED60D2">
      <w:pPr>
        <w:rPr>
          <w:szCs w:val="22"/>
          <w:lang w:val="en-US"/>
        </w:rPr>
      </w:pPr>
      <w:r w:rsidRPr="00B07B0D">
        <w:rPr>
          <w:szCs w:val="22"/>
          <w:lang w:val="en-US"/>
        </w:rPr>
        <w:t xml:space="preserve">In the current economic context, marked by intensified geopolitical risks and the pressure of climate transition, corporate governance mechanisms are fundamental both for ensuring the stability of organizations in the context of exposure to external factors and for maintaining transparency and long-term sustainability (Kuzey </w:t>
      </w:r>
      <w:r w:rsidRPr="00B07B0D">
        <w:rPr>
          <w:i/>
          <w:iCs/>
          <w:szCs w:val="22"/>
          <w:lang w:val="en-US"/>
        </w:rPr>
        <w:t>et al.</w:t>
      </w:r>
      <w:r w:rsidRPr="00B07B0D">
        <w:rPr>
          <w:szCs w:val="22"/>
          <w:lang w:val="en-US"/>
        </w:rPr>
        <w:t xml:space="preserve">, 2023). </w:t>
      </w:r>
    </w:p>
    <w:p w14:paraId="0573EDB3" w14:textId="77777777" w:rsidR="00ED60D2" w:rsidRPr="00B07B0D" w:rsidRDefault="00ED60D2" w:rsidP="00ED60D2">
      <w:pPr>
        <w:rPr>
          <w:szCs w:val="22"/>
          <w:lang w:val="en-US"/>
        </w:rPr>
      </w:pPr>
    </w:p>
    <w:p w14:paraId="4B72A8B8" w14:textId="79F9E1F2" w:rsidR="00ED60D2" w:rsidRPr="00B07B0D" w:rsidRDefault="00ED60D2" w:rsidP="00ED60D2">
      <w:pPr>
        <w:rPr>
          <w:szCs w:val="22"/>
          <w:lang w:val="en-US"/>
        </w:rPr>
      </w:pPr>
      <w:r w:rsidRPr="00B07B0D">
        <w:rPr>
          <w:szCs w:val="22"/>
          <w:lang w:val="en-US"/>
        </w:rPr>
        <w:t>The evolution of financial markets and the need to restore investor confidence following financial scandals and non-compliant corporate behavior have led to a broader definition of corporate governance. Talamo (201</w:t>
      </w:r>
      <w:r w:rsidR="000A5AD7" w:rsidRPr="00B07B0D">
        <w:rPr>
          <w:szCs w:val="22"/>
          <w:lang w:val="en-US"/>
        </w:rPr>
        <w:t>1</w:t>
      </w:r>
      <w:r w:rsidRPr="00B07B0D">
        <w:rPr>
          <w:szCs w:val="22"/>
          <w:lang w:val="en-US"/>
        </w:rPr>
        <w:t xml:space="preserve">) argues that corporate governance aims to strike a balance between economic and social objectives and to align the interests of all stakeholders with </w:t>
      </w:r>
      <w:r w:rsidR="0097599C" w:rsidRPr="00B07B0D">
        <w:rPr>
          <w:szCs w:val="22"/>
          <w:lang w:val="en-US"/>
        </w:rPr>
        <w:t>vision of the organization</w:t>
      </w:r>
      <w:r w:rsidRPr="00B07B0D">
        <w:rPr>
          <w:szCs w:val="22"/>
          <w:lang w:val="en-US"/>
        </w:rPr>
        <w:t xml:space="preserve">. This perspective highlights the need to strengthen corporate governance structures such as the board of directors and advisory committees (internal audit, remuneration, and nomination) so that new challenges can be managed efficiently and effectively. </w:t>
      </w:r>
    </w:p>
    <w:p w14:paraId="08BF79A2" w14:textId="77777777" w:rsidR="00ED60D2" w:rsidRPr="00B07B0D" w:rsidRDefault="00ED60D2" w:rsidP="00ED60D2">
      <w:pPr>
        <w:rPr>
          <w:szCs w:val="22"/>
          <w:lang w:val="en-US"/>
        </w:rPr>
      </w:pPr>
    </w:p>
    <w:p w14:paraId="39A932D9" w14:textId="4D148C16" w:rsidR="00F80406" w:rsidRPr="00B07B0D" w:rsidRDefault="00F80406" w:rsidP="00F80406">
      <w:pPr>
        <w:rPr>
          <w:szCs w:val="22"/>
          <w:lang w:val="en-US"/>
        </w:rPr>
      </w:pPr>
      <w:r w:rsidRPr="00B07B0D">
        <w:rPr>
          <w:szCs w:val="22"/>
          <w:lang w:val="en-US"/>
        </w:rPr>
        <w:t xml:space="preserve">In emerging European economies, the implementation of corporate governance mechanisms has become a determining factor in attracting capital flows and increasing long-term economic competitiveness. </w:t>
      </w:r>
      <w:proofErr w:type="spellStart"/>
      <w:r w:rsidRPr="00B07B0D">
        <w:rPr>
          <w:szCs w:val="22"/>
          <w:lang w:val="en-US"/>
        </w:rPr>
        <w:t>Feleagă</w:t>
      </w:r>
      <w:proofErr w:type="spellEnd"/>
      <w:r w:rsidRPr="00B07B0D">
        <w:rPr>
          <w:szCs w:val="22"/>
          <w:lang w:val="en-US"/>
        </w:rPr>
        <w:t xml:space="preserve"> </w:t>
      </w:r>
      <w:r w:rsidRPr="00B07B0D">
        <w:rPr>
          <w:i/>
          <w:iCs/>
          <w:szCs w:val="22"/>
          <w:lang w:val="en-US"/>
        </w:rPr>
        <w:t>et al.</w:t>
      </w:r>
      <w:r w:rsidRPr="00B07B0D">
        <w:rPr>
          <w:szCs w:val="22"/>
          <w:lang w:val="en-US"/>
        </w:rPr>
        <w:t xml:space="preserve"> (2011) highlight a trend towards reducing the differences between developed and emerging markets under the pressure of </w:t>
      </w:r>
      <w:r w:rsidR="00844B0F" w:rsidRPr="00B07B0D">
        <w:rPr>
          <w:szCs w:val="22"/>
          <w:lang w:val="en-US"/>
        </w:rPr>
        <w:t>globalization but</w:t>
      </w:r>
      <w:r w:rsidRPr="00B07B0D">
        <w:rPr>
          <w:szCs w:val="22"/>
          <w:lang w:val="en-US"/>
        </w:rPr>
        <w:t xml:space="preserve"> emphasize that cultural and social factors still require differentiated approaches in the application of governance codes. Therefore, at the business level, it is necessary to strengthen the board of directors and its advisory committees (audit, remuneration, and nomination) as pillars of operational efficiency. This diversity of institutional contexts is reflected in empirical results on the relationship between corporate governance and financial performance. The results of research conducted by Hamad </w:t>
      </w:r>
      <w:r w:rsidR="003A5409">
        <w:rPr>
          <w:szCs w:val="22"/>
          <w:lang w:val="en-US"/>
        </w:rPr>
        <w:t>and</w:t>
      </w:r>
      <w:r w:rsidRPr="00B07B0D">
        <w:rPr>
          <w:szCs w:val="22"/>
          <w:lang w:val="en-US"/>
        </w:rPr>
        <w:t xml:space="preserve"> Cek (2023) confirm that the impact of corporate governance on performance is not uniform, varying according to national specifics. </w:t>
      </w:r>
    </w:p>
    <w:p w14:paraId="5595F8E4" w14:textId="77777777" w:rsidR="00F80406" w:rsidRPr="00B07B0D" w:rsidRDefault="00F80406" w:rsidP="00F80406">
      <w:pPr>
        <w:rPr>
          <w:szCs w:val="22"/>
          <w:lang w:val="en-US"/>
        </w:rPr>
      </w:pPr>
    </w:p>
    <w:p w14:paraId="6BE9586A" w14:textId="0C2B09F9" w:rsidR="00F80406" w:rsidRPr="00B07B0D" w:rsidRDefault="00F80406" w:rsidP="00F80406">
      <w:pPr>
        <w:rPr>
          <w:szCs w:val="22"/>
          <w:lang w:val="en-US"/>
        </w:rPr>
      </w:pPr>
      <w:r w:rsidRPr="00B07B0D">
        <w:rPr>
          <w:szCs w:val="22"/>
          <w:lang w:val="en-US"/>
        </w:rPr>
        <w:t xml:space="preserve">Although existing research on the relationship between corporate governance mechanisms and financial performance is well-founded, it is limited by the predominant use of traditional financial indicators: return on equity (ROE) (Hamad &amp; Cek, 2023; Chandani &amp; Ahmed, 2021; Alley </w:t>
      </w:r>
      <w:r w:rsidRPr="00B07B0D">
        <w:rPr>
          <w:i/>
          <w:iCs/>
          <w:szCs w:val="22"/>
          <w:lang w:val="en-US"/>
        </w:rPr>
        <w:t>et al</w:t>
      </w:r>
      <w:r w:rsidRPr="00B07B0D">
        <w:rPr>
          <w:szCs w:val="22"/>
          <w:lang w:val="en-US"/>
        </w:rPr>
        <w:t xml:space="preserve">., 2016), return on assets (ROA) (Hamad &amp; Cek, 2023; Chandani &amp; Ahmed, 2021; Alley </w:t>
      </w:r>
      <w:r w:rsidRPr="00B07B0D">
        <w:rPr>
          <w:i/>
          <w:iCs/>
          <w:szCs w:val="22"/>
          <w:lang w:val="en-US"/>
        </w:rPr>
        <w:t>et al</w:t>
      </w:r>
      <w:r w:rsidRPr="00B07B0D">
        <w:rPr>
          <w:szCs w:val="22"/>
          <w:lang w:val="en-US"/>
        </w:rPr>
        <w:t xml:space="preserve">., 2016), and net profit margin (Alley </w:t>
      </w:r>
      <w:r w:rsidRPr="00B07B0D">
        <w:rPr>
          <w:i/>
          <w:iCs/>
          <w:szCs w:val="22"/>
          <w:lang w:val="en-US"/>
        </w:rPr>
        <w:t>et al</w:t>
      </w:r>
      <w:r w:rsidRPr="00B07B0D">
        <w:rPr>
          <w:szCs w:val="22"/>
          <w:lang w:val="en-US"/>
        </w:rPr>
        <w:t>., 2016). Traditional financial indicators may be vulnerable to changes in national tax policies, capital structures, or depreciation methods, which can distort the results regarding the actual operational efficiency of management.</w:t>
      </w:r>
    </w:p>
    <w:p w14:paraId="2E0FF694" w14:textId="77777777" w:rsidR="00F80406" w:rsidRPr="00B07B0D" w:rsidRDefault="00F80406" w:rsidP="00F80406">
      <w:pPr>
        <w:rPr>
          <w:szCs w:val="22"/>
          <w:lang w:val="en-US"/>
        </w:rPr>
      </w:pPr>
    </w:p>
    <w:p w14:paraId="4E0AF17A" w14:textId="2E2CA086" w:rsidR="00FB7EDB" w:rsidRPr="00B07B0D" w:rsidRDefault="00FB7EDB" w:rsidP="00FB7EDB">
      <w:pPr>
        <w:rPr>
          <w:szCs w:val="22"/>
          <w:lang w:val="en-US"/>
        </w:rPr>
      </w:pPr>
      <w:r w:rsidRPr="00B07B0D">
        <w:rPr>
          <w:szCs w:val="22"/>
          <w:lang w:val="en-US"/>
        </w:rPr>
        <w:t xml:space="preserve">This study distinguishes itself by using EBITDA (Earnings Before Interest, Taxes, Depreciation, and Amortization) to assess financial performance, an approach justified by this metric’s ability to enhance transparency, particularly in the case of companies with weak internal control mechanisms. In the context of weak internal control systems, EBITDA functions as a proxy for corporate governance, providing investors with a clearer picture of profitability, independent of depreciation policies or debt levels (Cormier </w:t>
      </w:r>
      <w:r w:rsidRPr="00B07B0D">
        <w:rPr>
          <w:i/>
          <w:iCs/>
          <w:szCs w:val="22"/>
          <w:lang w:val="en-US"/>
        </w:rPr>
        <w:t>et al</w:t>
      </w:r>
      <w:r w:rsidRPr="00B07B0D">
        <w:rPr>
          <w:szCs w:val="22"/>
          <w:lang w:val="en-US"/>
        </w:rPr>
        <w:t>., 2017)</w:t>
      </w:r>
      <w:r w:rsidR="00B07B0D">
        <w:rPr>
          <w:szCs w:val="22"/>
          <w:lang w:val="en-US"/>
        </w:rPr>
        <w:t>.</w:t>
      </w:r>
      <w:r w:rsidRPr="00B07B0D">
        <w:rPr>
          <w:szCs w:val="22"/>
          <w:lang w:val="en-US"/>
        </w:rPr>
        <w:t xml:space="preserve"> </w:t>
      </w:r>
    </w:p>
    <w:p w14:paraId="24A73B5F" w14:textId="77777777" w:rsidR="00F3669D" w:rsidRPr="00B07B0D" w:rsidRDefault="00F3669D" w:rsidP="00FB7EDB">
      <w:pPr>
        <w:rPr>
          <w:szCs w:val="22"/>
          <w:lang w:val="en-US"/>
        </w:rPr>
      </w:pPr>
    </w:p>
    <w:p w14:paraId="331167F5" w14:textId="14DEBB13" w:rsidR="00934795" w:rsidRPr="00B07B0D" w:rsidRDefault="00FB7EDB" w:rsidP="00FB7EDB">
      <w:pPr>
        <w:rPr>
          <w:szCs w:val="22"/>
          <w:lang w:val="en-US"/>
        </w:rPr>
      </w:pPr>
      <w:r w:rsidRPr="00B07B0D">
        <w:rPr>
          <w:szCs w:val="22"/>
          <w:lang w:val="en-US"/>
        </w:rPr>
        <w:t xml:space="preserve">From a governance perspective, the literature shows that structures characterized by family ties can have a negative impact on performance as measured by EBITDA, highlighting the importance of control mechanisms and the separation of personal interests from organizational ones (Da Silva </w:t>
      </w:r>
      <w:r w:rsidRPr="00B07B0D">
        <w:rPr>
          <w:i/>
          <w:iCs/>
          <w:szCs w:val="22"/>
          <w:lang w:val="en-US"/>
        </w:rPr>
        <w:t>et al</w:t>
      </w:r>
      <w:r w:rsidRPr="00B07B0D">
        <w:rPr>
          <w:szCs w:val="22"/>
          <w:lang w:val="en-US"/>
        </w:rPr>
        <w:t xml:space="preserve">., 2024). A high level of EBITDA is associated with a greater ability of firms to support ESG initiatives (Myriam </w:t>
      </w:r>
      <w:r w:rsidRPr="00B07B0D">
        <w:rPr>
          <w:i/>
          <w:iCs/>
          <w:szCs w:val="22"/>
          <w:lang w:val="en-US"/>
        </w:rPr>
        <w:t>et al</w:t>
      </w:r>
      <w:r w:rsidRPr="00B07B0D">
        <w:rPr>
          <w:szCs w:val="22"/>
          <w:lang w:val="en-US"/>
        </w:rPr>
        <w:t>., 2025). Furthermore, EBITDA is frequently used in investors’ decision-making processes due to its ability to reflect performance and the potential for creating economic value (Kluza &amp; Chmielewska, 2025).</w:t>
      </w:r>
    </w:p>
    <w:p w14:paraId="1A501DAF" w14:textId="77777777" w:rsidR="00FB7EDB" w:rsidRPr="00B07B0D" w:rsidRDefault="00FB7EDB" w:rsidP="00FB7EDB">
      <w:pPr>
        <w:rPr>
          <w:szCs w:val="22"/>
          <w:lang w:val="en-US"/>
        </w:rPr>
      </w:pPr>
    </w:p>
    <w:p w14:paraId="322091D8" w14:textId="65E42781" w:rsidR="00FB7EDB" w:rsidRPr="00B07B0D" w:rsidRDefault="00FB7EDB" w:rsidP="00FB7EDB">
      <w:pPr>
        <w:rPr>
          <w:szCs w:val="22"/>
          <w:lang w:val="en-US"/>
        </w:rPr>
      </w:pPr>
      <w:r w:rsidRPr="00B07B0D">
        <w:rPr>
          <w:szCs w:val="22"/>
          <w:lang w:val="en-US"/>
        </w:rPr>
        <w:t xml:space="preserve">From this perspective, the objective of this study is to analyze the correlation between corporate governance mechanisms (the structure of the board of directors and the audit committee, as well as the committee’s relationship with the internal audit department) and EBITDA among publicly traded companies in Europe. This study makes a relevant contribution by using EBITDA as the dependent variable, as a review of the literature highlights the limited use of this indicator in analyzing the influence of corporate governance on performance, as measured by EBITDA. </w:t>
      </w:r>
    </w:p>
    <w:p w14:paraId="4CA8B965" w14:textId="77777777" w:rsidR="00FB7EDB" w:rsidRPr="00B07B0D" w:rsidRDefault="00FB7EDB" w:rsidP="00FB7EDB">
      <w:pPr>
        <w:rPr>
          <w:szCs w:val="22"/>
          <w:lang w:val="en-US"/>
        </w:rPr>
      </w:pPr>
    </w:p>
    <w:p w14:paraId="43BFFE0F" w14:textId="7F8ED4E2" w:rsidR="00934795" w:rsidRPr="00B07B0D" w:rsidRDefault="00934795" w:rsidP="00934795">
      <w:pPr>
        <w:rPr>
          <w:szCs w:val="22"/>
          <w:lang w:val="en-US"/>
        </w:rPr>
      </w:pPr>
      <w:r w:rsidRPr="00B07B0D">
        <w:rPr>
          <w:szCs w:val="22"/>
          <w:lang w:val="en-US"/>
        </w:rPr>
        <w:t xml:space="preserve">Based on the methodological framework established in previous research conducted by </w:t>
      </w:r>
      <w:proofErr w:type="spellStart"/>
      <w:r w:rsidRPr="00B07B0D">
        <w:rPr>
          <w:szCs w:val="22"/>
          <w:lang w:val="en-US"/>
        </w:rPr>
        <w:t>Al</w:t>
      </w:r>
      <w:r w:rsidR="00B07B0D">
        <w:rPr>
          <w:szCs w:val="22"/>
          <w:lang w:val="en-US"/>
        </w:rPr>
        <w:t>l</w:t>
      </w:r>
      <w:r w:rsidRPr="00B07B0D">
        <w:rPr>
          <w:szCs w:val="22"/>
          <w:lang w:val="en-US"/>
        </w:rPr>
        <w:t>eey</w:t>
      </w:r>
      <w:proofErr w:type="spellEnd"/>
      <w:r w:rsidRPr="00B07B0D">
        <w:rPr>
          <w:szCs w:val="22"/>
          <w:lang w:val="en-US"/>
        </w:rPr>
        <w:t xml:space="preserve"> </w:t>
      </w:r>
      <w:r w:rsidRPr="00B07B0D">
        <w:rPr>
          <w:i/>
          <w:iCs/>
          <w:szCs w:val="22"/>
          <w:lang w:val="en-US"/>
        </w:rPr>
        <w:t>et al.</w:t>
      </w:r>
      <w:r w:rsidRPr="00B07B0D">
        <w:rPr>
          <w:szCs w:val="22"/>
          <w:lang w:val="en-US"/>
        </w:rPr>
        <w:t xml:space="preserve"> (2016) and </w:t>
      </w:r>
      <w:proofErr w:type="spellStart"/>
      <w:r w:rsidRPr="00B07B0D">
        <w:rPr>
          <w:szCs w:val="22"/>
          <w:lang w:val="en-US"/>
        </w:rPr>
        <w:t>Melón-Izco</w:t>
      </w:r>
      <w:proofErr w:type="spellEnd"/>
      <w:r w:rsidRPr="00B07B0D">
        <w:rPr>
          <w:szCs w:val="22"/>
          <w:lang w:val="en-US"/>
        </w:rPr>
        <w:t xml:space="preserve"> </w:t>
      </w:r>
      <w:r w:rsidRPr="00B07B0D">
        <w:rPr>
          <w:i/>
          <w:iCs/>
          <w:szCs w:val="22"/>
          <w:lang w:val="en-US"/>
        </w:rPr>
        <w:t>et al.</w:t>
      </w:r>
      <w:r w:rsidRPr="00B07B0D">
        <w:rPr>
          <w:szCs w:val="22"/>
          <w:lang w:val="en-US"/>
        </w:rPr>
        <w:t xml:space="preserve"> (2020), the relationship between corporate governance mechanisms and financial performance was analyzed using a quantitative research methodology focused on a linear regression model </w:t>
      </w:r>
      <w:r w:rsidR="00D30747" w:rsidRPr="00B07B0D">
        <w:rPr>
          <w:szCs w:val="22"/>
          <w:lang w:val="en-US"/>
        </w:rPr>
        <w:t>performed</w:t>
      </w:r>
      <w:r w:rsidRPr="00B07B0D">
        <w:rPr>
          <w:szCs w:val="22"/>
          <w:lang w:val="en-US"/>
        </w:rPr>
        <w:t xml:space="preserve"> in the SPSS (Statistical Package for the Social Sciences) program. At the same </w:t>
      </w:r>
      <w:r w:rsidR="00F2597E">
        <w:rPr>
          <w:szCs w:val="22"/>
          <w:lang w:val="en-US"/>
        </w:rPr>
        <w:br/>
      </w:r>
      <w:r w:rsidRPr="00B07B0D">
        <w:rPr>
          <w:szCs w:val="22"/>
          <w:lang w:val="en-US"/>
        </w:rPr>
        <w:t xml:space="preserve">time, the methodological framework was extended by integrating the dimension of gender diversity, according to the model proposed by </w:t>
      </w:r>
      <w:proofErr w:type="spellStart"/>
      <w:r w:rsidRPr="00B07B0D">
        <w:rPr>
          <w:szCs w:val="22"/>
          <w:lang w:val="en-US"/>
        </w:rPr>
        <w:t>Ionașcu</w:t>
      </w:r>
      <w:proofErr w:type="spellEnd"/>
      <w:r w:rsidRPr="00B07B0D">
        <w:rPr>
          <w:szCs w:val="22"/>
          <w:lang w:val="en-US"/>
        </w:rPr>
        <w:t xml:space="preserve"> </w:t>
      </w:r>
      <w:r w:rsidRPr="00B07B0D">
        <w:rPr>
          <w:i/>
          <w:iCs/>
          <w:szCs w:val="22"/>
          <w:lang w:val="en-US"/>
        </w:rPr>
        <w:t>et al.</w:t>
      </w:r>
      <w:r w:rsidRPr="00B07B0D">
        <w:rPr>
          <w:szCs w:val="22"/>
          <w:lang w:val="en-US"/>
        </w:rPr>
        <w:t xml:space="preserve"> (2018) and by including the internal audit reporting score, based on the findings of Tu</w:t>
      </w:r>
      <w:r w:rsidR="00B07B0D" w:rsidRPr="00107B20">
        <w:rPr>
          <w:rFonts w:ascii="Times New Roman" w:hAnsi="Times New Roman" w:cs="Times New Roman"/>
          <w:szCs w:val="22"/>
        </w:rPr>
        <w:t>š</w:t>
      </w:r>
      <w:r w:rsidRPr="00B07B0D">
        <w:rPr>
          <w:szCs w:val="22"/>
          <w:lang w:val="en-US"/>
        </w:rPr>
        <w:t xml:space="preserve">ek (2015). The research sample consisted of 884 public companies in Europe (excluding the United Kingdom) that published data in </w:t>
      </w:r>
      <w:r w:rsidR="001D2614" w:rsidRPr="00B07B0D">
        <w:rPr>
          <w:szCs w:val="22"/>
          <w:lang w:val="en-US"/>
        </w:rPr>
        <w:t xml:space="preserve">LSEG Workspace database </w:t>
      </w:r>
      <w:r w:rsidRPr="00B07B0D">
        <w:rPr>
          <w:szCs w:val="22"/>
          <w:lang w:val="en-US"/>
        </w:rPr>
        <w:t>for the period 2021</w:t>
      </w:r>
      <w:r w:rsidR="00F2597E">
        <w:rPr>
          <w:szCs w:val="22"/>
          <w:lang w:val="en-US"/>
        </w:rPr>
        <w:t>-</w:t>
      </w:r>
      <w:r w:rsidRPr="00B07B0D">
        <w:rPr>
          <w:szCs w:val="22"/>
          <w:lang w:val="en-US"/>
        </w:rPr>
        <w:t>2024.</w:t>
      </w:r>
    </w:p>
    <w:p w14:paraId="3B6CA67B" w14:textId="77777777" w:rsidR="00934795" w:rsidRPr="00B07B0D" w:rsidRDefault="00934795" w:rsidP="00934795">
      <w:pPr>
        <w:rPr>
          <w:szCs w:val="22"/>
          <w:lang w:val="en-US"/>
        </w:rPr>
      </w:pPr>
    </w:p>
    <w:p w14:paraId="06918260" w14:textId="77777777" w:rsidR="00BB2BCB" w:rsidRDefault="00BB2BCB" w:rsidP="00BB2BCB">
      <w:pPr>
        <w:rPr>
          <w:szCs w:val="22"/>
          <w:lang w:val="en-US"/>
        </w:rPr>
      </w:pPr>
      <w:r w:rsidRPr="00B07B0D">
        <w:rPr>
          <w:szCs w:val="22"/>
          <w:lang w:val="en-US"/>
        </w:rPr>
        <w:t xml:space="preserve">The proposed model simultaneously integrates multiple dimensions of corporate governance, namely the structure and composition of the board of directors, and the characteristics of the audit committee (the independence and expertise of its members, and the role of the internal audit department). </w:t>
      </w:r>
    </w:p>
    <w:p w14:paraId="0A16C692" w14:textId="77777777" w:rsidR="005C23ED" w:rsidRPr="00B07B0D" w:rsidRDefault="005C23ED" w:rsidP="00BB2BCB">
      <w:pPr>
        <w:rPr>
          <w:szCs w:val="22"/>
          <w:lang w:val="en-US"/>
        </w:rPr>
      </w:pPr>
    </w:p>
    <w:p w14:paraId="523D1A3C" w14:textId="77777777" w:rsidR="00506516" w:rsidRPr="00B07B0D" w:rsidRDefault="00BB2BCB" w:rsidP="00BB2BCB">
      <w:pPr>
        <w:rPr>
          <w:szCs w:val="22"/>
          <w:lang w:val="en-US"/>
        </w:rPr>
      </w:pPr>
      <w:r w:rsidRPr="00B07B0D">
        <w:rPr>
          <w:szCs w:val="22"/>
          <w:lang w:val="en-US"/>
        </w:rPr>
        <w:t>At the same time, this research analyzes a period heavily impacted by both emerging risks—such as the COVID-19 pandemic and geopolitical risks</w:t>
      </w:r>
      <w:r w:rsidR="004A55CA" w:rsidRPr="00B07B0D">
        <w:rPr>
          <w:szCs w:val="22"/>
          <w:lang w:val="en-US"/>
        </w:rPr>
        <w:t xml:space="preserve"> </w:t>
      </w:r>
      <w:r w:rsidRPr="00B07B0D">
        <w:rPr>
          <w:szCs w:val="22"/>
          <w:lang w:val="en-US"/>
        </w:rPr>
        <w:t xml:space="preserve">and the transition to new European ESG (Environmental, Social, Governance) reporting requirements: the Corporate Sustainability Reporting Directive and the European Sustainability Reporting Standards. By incorporating these emerging trends in sustainability reporting, this study contributes to the academic literature by linking traditional elements of corporate governance (board structure) with new provisions regarding the maintenance of transparency and corporate accountability, highlighting the impact of legislative changes on corporate governance. </w:t>
      </w:r>
    </w:p>
    <w:p w14:paraId="4609CE4A" w14:textId="77777777" w:rsidR="00506516" w:rsidRPr="00B07B0D" w:rsidRDefault="00506516" w:rsidP="00BB2BCB">
      <w:pPr>
        <w:rPr>
          <w:szCs w:val="22"/>
          <w:lang w:val="en-US"/>
        </w:rPr>
      </w:pPr>
    </w:p>
    <w:p w14:paraId="4B101535" w14:textId="0D245627" w:rsidR="00D03916" w:rsidRPr="00B07B0D" w:rsidRDefault="00BB2BCB" w:rsidP="00BB2BCB">
      <w:pPr>
        <w:rPr>
          <w:szCs w:val="22"/>
          <w:lang w:val="en-US"/>
        </w:rPr>
      </w:pPr>
      <w:r w:rsidRPr="00B07B0D">
        <w:rPr>
          <w:szCs w:val="22"/>
          <w:lang w:val="en-US"/>
        </w:rPr>
        <w:t xml:space="preserve">The sample included only companies headquartered in Europe that published complete and valid data for the period analyzed. This research focused on public companies in Europe, </w:t>
      </w:r>
      <w:proofErr w:type="gramStart"/>
      <w:r w:rsidRPr="00B07B0D">
        <w:rPr>
          <w:szCs w:val="22"/>
          <w:lang w:val="en-US"/>
        </w:rPr>
        <w:t>taking into account</w:t>
      </w:r>
      <w:proofErr w:type="gramEnd"/>
      <w:r w:rsidRPr="00B07B0D">
        <w:rPr>
          <w:szCs w:val="22"/>
          <w:lang w:val="en-US"/>
        </w:rPr>
        <w:t xml:space="preserve"> the harmonized regulatory framework established by Directive 2006/43/EC and Directive 2014/56/EU.</w:t>
      </w:r>
    </w:p>
    <w:p w14:paraId="12C3D83F" w14:textId="77777777" w:rsidR="00BB2BCB" w:rsidRPr="00B07B0D" w:rsidRDefault="00BB2BCB" w:rsidP="00BB2BCB">
      <w:pPr>
        <w:rPr>
          <w:szCs w:val="22"/>
          <w:lang w:val="en-US"/>
        </w:rPr>
      </w:pPr>
    </w:p>
    <w:p w14:paraId="3CA41598" w14:textId="73D9BDB2" w:rsidR="00BB2BCB" w:rsidRPr="00B07B0D" w:rsidRDefault="00BB2BCB" w:rsidP="00BB2BCB">
      <w:pPr>
        <w:rPr>
          <w:szCs w:val="22"/>
          <w:lang w:val="en-US"/>
        </w:rPr>
      </w:pPr>
      <w:r w:rsidRPr="00B07B0D">
        <w:rPr>
          <w:szCs w:val="22"/>
          <w:lang w:val="en-US"/>
        </w:rPr>
        <w:t>Structurally, the paper is organized as follows: the Literature Review section provides an overview of the literature on the relationship between corporate governance structure and companies’ financial performance; the Research Methodology section establishes the research sample, the research method, and the program used for testing, while the Results and Discussion section presents the results of the regression model. Finally, the Conclusions section presents the general conclusions of the research, directions for further research, and acknowledges the limitations of this study.</w:t>
      </w:r>
    </w:p>
    <w:p w14:paraId="6E0E078D" w14:textId="77777777" w:rsidR="00F3669D" w:rsidRPr="00B07B0D" w:rsidRDefault="00F3669D" w:rsidP="00BB2BCB">
      <w:pPr>
        <w:rPr>
          <w:szCs w:val="22"/>
          <w:lang w:val="en-US"/>
        </w:rPr>
      </w:pPr>
    </w:p>
    <w:p w14:paraId="430A73A9" w14:textId="08913263" w:rsidR="00D8357D" w:rsidRPr="00B07B0D" w:rsidRDefault="004E3A79" w:rsidP="004E3A79">
      <w:pPr>
        <w:rPr>
          <w:b/>
          <w:bCs/>
          <w:sz w:val="28"/>
          <w:szCs w:val="32"/>
          <w:lang w:val="en-US"/>
        </w:rPr>
      </w:pPr>
      <w:bookmarkStart w:id="5" w:name="_Ref46698815"/>
      <w:r w:rsidRPr="00B07B0D">
        <w:rPr>
          <w:b/>
          <w:bCs/>
          <w:sz w:val="28"/>
          <w:szCs w:val="32"/>
          <w:lang w:val="en-US"/>
        </w:rPr>
        <w:t xml:space="preserve">2. </w:t>
      </w:r>
      <w:r w:rsidR="00385B7E" w:rsidRPr="00B07B0D">
        <w:rPr>
          <w:b/>
          <w:bCs/>
          <w:sz w:val="28"/>
          <w:szCs w:val="32"/>
          <w:lang w:val="en-US"/>
        </w:rPr>
        <w:t>Literature review</w:t>
      </w:r>
      <w:bookmarkEnd w:id="5"/>
      <w:r w:rsidR="00385B7E" w:rsidRPr="00B07B0D">
        <w:rPr>
          <w:b/>
          <w:bCs/>
          <w:sz w:val="28"/>
          <w:szCs w:val="32"/>
          <w:lang w:val="en-US"/>
        </w:rPr>
        <w:t xml:space="preserve"> </w:t>
      </w:r>
      <w:r w:rsidR="002747A7" w:rsidRPr="00B07B0D">
        <w:rPr>
          <w:b/>
          <w:bCs/>
          <w:sz w:val="28"/>
          <w:szCs w:val="32"/>
          <w:lang w:val="en-US"/>
        </w:rPr>
        <w:t>and hypotheses development</w:t>
      </w:r>
    </w:p>
    <w:p w14:paraId="6494D451" w14:textId="77777777" w:rsidR="003F07B0" w:rsidRPr="00B07B0D" w:rsidRDefault="003F07B0" w:rsidP="00D8357D">
      <w:pPr>
        <w:rPr>
          <w:lang w:val="en-US"/>
        </w:rPr>
      </w:pPr>
    </w:p>
    <w:p w14:paraId="707FF651" w14:textId="5F65F5DE" w:rsidR="003F07B0" w:rsidRPr="00B07B0D" w:rsidRDefault="009E6CB2" w:rsidP="003F07B0">
      <w:pPr>
        <w:rPr>
          <w:szCs w:val="22"/>
          <w:lang w:val="en-US"/>
        </w:rPr>
      </w:pPr>
      <w:r w:rsidRPr="00B07B0D">
        <w:rPr>
          <w:szCs w:val="22"/>
          <w:lang w:val="en-US"/>
        </w:rPr>
        <w:t xml:space="preserve">Global financial and non-financial crises have amplified concerns about the effectiveness of corporate governance mechanisms and their impact on companies' financial performance (Hsu &amp; Yang, 2022; </w:t>
      </w:r>
      <w:proofErr w:type="spellStart"/>
      <w:r w:rsidRPr="00B07B0D">
        <w:rPr>
          <w:szCs w:val="22"/>
          <w:lang w:val="en-US"/>
        </w:rPr>
        <w:t>Minichilli</w:t>
      </w:r>
      <w:proofErr w:type="spellEnd"/>
      <w:r w:rsidRPr="00B07B0D">
        <w:rPr>
          <w:szCs w:val="22"/>
          <w:lang w:val="en-US"/>
        </w:rPr>
        <w:t xml:space="preserve"> </w:t>
      </w:r>
      <w:r w:rsidRPr="00B07B0D">
        <w:rPr>
          <w:i/>
          <w:iCs/>
          <w:szCs w:val="22"/>
          <w:lang w:val="en-US"/>
        </w:rPr>
        <w:t>et al</w:t>
      </w:r>
      <w:r w:rsidRPr="00B07B0D">
        <w:rPr>
          <w:szCs w:val="22"/>
          <w:lang w:val="en-US"/>
        </w:rPr>
        <w:t>., 2016</w:t>
      </w:r>
      <w:r w:rsidR="00B07B0D">
        <w:rPr>
          <w:szCs w:val="22"/>
        </w:rPr>
        <w:t>;</w:t>
      </w:r>
      <w:r w:rsidR="00B07B0D" w:rsidRPr="00B07B0D">
        <w:rPr>
          <w:szCs w:val="22"/>
          <w:lang w:val="en-US"/>
        </w:rPr>
        <w:t xml:space="preserve"> Alpaslan </w:t>
      </w:r>
      <w:r w:rsidR="00B07B0D" w:rsidRPr="00B07B0D">
        <w:rPr>
          <w:i/>
          <w:iCs/>
          <w:szCs w:val="22"/>
          <w:lang w:val="en-US"/>
        </w:rPr>
        <w:t>et al</w:t>
      </w:r>
      <w:r w:rsidR="00B07B0D" w:rsidRPr="00B07B0D">
        <w:rPr>
          <w:szCs w:val="22"/>
          <w:lang w:val="en-US"/>
        </w:rPr>
        <w:t>., 2009;</w:t>
      </w:r>
      <w:r w:rsidRPr="00B07B0D">
        <w:rPr>
          <w:szCs w:val="22"/>
          <w:lang w:val="en-US"/>
        </w:rPr>
        <w:t>). These events have highlighted the need to strengthen oversight and control structures in order to manage risks more effectively and protect the interests of investors and stakeholders. This direction is confirmed by the revision of the corporate governance principles issued by the OECD (</w:t>
      </w:r>
      <w:proofErr w:type="spellStart"/>
      <w:r w:rsidRPr="00B07B0D">
        <w:rPr>
          <w:szCs w:val="22"/>
          <w:lang w:val="en-US"/>
        </w:rPr>
        <w:t>Organisation</w:t>
      </w:r>
      <w:proofErr w:type="spellEnd"/>
      <w:r w:rsidRPr="00B07B0D">
        <w:rPr>
          <w:szCs w:val="22"/>
          <w:lang w:val="en-US"/>
        </w:rPr>
        <w:t xml:space="preserve"> for Economic Co-operation and Development) for the period 2021–2023, which introduces a chapter dedicated to sustainability and resilience, </w:t>
      </w:r>
      <w:r w:rsidR="00B07B0D" w:rsidRPr="00B07B0D">
        <w:rPr>
          <w:szCs w:val="22"/>
          <w:lang w:val="en-US"/>
        </w:rPr>
        <w:t>emphasizing</w:t>
      </w:r>
      <w:r w:rsidRPr="00B07B0D">
        <w:rPr>
          <w:szCs w:val="22"/>
          <w:lang w:val="en-US"/>
        </w:rPr>
        <w:t xml:space="preserve"> the essential role of corporate governance in ensuring long-term stability and performance (OECD, 2023)</w:t>
      </w:r>
      <w:r w:rsidR="00B07B0D">
        <w:rPr>
          <w:szCs w:val="22"/>
          <w:lang w:val="en-US"/>
        </w:rPr>
        <w:t>.</w:t>
      </w:r>
    </w:p>
    <w:p w14:paraId="75E73BE3" w14:textId="77777777" w:rsidR="009E6CB2" w:rsidRPr="00B07B0D" w:rsidRDefault="009E6CB2" w:rsidP="003F07B0">
      <w:pPr>
        <w:rPr>
          <w:szCs w:val="22"/>
          <w:lang w:val="en-US"/>
        </w:rPr>
      </w:pPr>
    </w:p>
    <w:p w14:paraId="320B31DA" w14:textId="78196B4C" w:rsidR="003F07B0" w:rsidRPr="00B07B0D" w:rsidRDefault="003F07B0" w:rsidP="003F07B0">
      <w:pPr>
        <w:rPr>
          <w:szCs w:val="22"/>
          <w:lang w:val="en-US"/>
        </w:rPr>
      </w:pPr>
      <w:r w:rsidRPr="00B07B0D">
        <w:rPr>
          <w:szCs w:val="22"/>
          <w:lang w:val="en-US"/>
        </w:rPr>
        <w:t>There is extensive literature on the relationship between corporate governance mechanisms and financial performance in the context of developed economies, highlighting that improving corporate governance practices has a positive influence on companies' financial performance.</w:t>
      </w:r>
    </w:p>
    <w:p w14:paraId="79DF5389" w14:textId="77777777" w:rsidR="003F07B0" w:rsidRPr="00B07B0D" w:rsidRDefault="003F07B0" w:rsidP="003F07B0">
      <w:pPr>
        <w:rPr>
          <w:szCs w:val="22"/>
          <w:lang w:val="en-US"/>
        </w:rPr>
      </w:pPr>
    </w:p>
    <w:p w14:paraId="6EF22DA7" w14:textId="43E8EED5" w:rsidR="003F07B0" w:rsidRPr="003A5409" w:rsidRDefault="00916819" w:rsidP="002F20DE">
      <w:pPr>
        <w:pStyle w:val="ListParagraph"/>
        <w:numPr>
          <w:ilvl w:val="1"/>
          <w:numId w:val="6"/>
        </w:numPr>
        <w:jc w:val="left"/>
        <w:rPr>
          <w:b/>
          <w:bCs/>
          <w:sz w:val="24"/>
          <w:lang w:val="en-US"/>
        </w:rPr>
      </w:pPr>
      <w:r w:rsidRPr="003A5409">
        <w:rPr>
          <w:b/>
          <w:bCs/>
          <w:sz w:val="24"/>
          <w:lang w:val="en-US"/>
        </w:rPr>
        <w:t>The impact of the national context on the relationship between corporate governance and financial performance</w:t>
      </w:r>
    </w:p>
    <w:p w14:paraId="0E9C097D" w14:textId="77777777" w:rsidR="00F7593A" w:rsidRPr="00B07B0D" w:rsidRDefault="00F7593A" w:rsidP="00F7593A">
      <w:pPr>
        <w:rPr>
          <w:b/>
          <w:bCs/>
          <w:szCs w:val="22"/>
          <w:lang w:val="en-US"/>
        </w:rPr>
      </w:pPr>
    </w:p>
    <w:p w14:paraId="19BDBC16" w14:textId="79095868" w:rsidR="008374BC" w:rsidRPr="00B07B0D" w:rsidRDefault="00B808BD" w:rsidP="00F7593A">
      <w:pPr>
        <w:rPr>
          <w:szCs w:val="22"/>
          <w:lang w:val="en-US"/>
        </w:rPr>
      </w:pPr>
      <w:r w:rsidRPr="00B07B0D">
        <w:rPr>
          <w:szCs w:val="22"/>
          <w:lang w:val="en-US"/>
        </w:rPr>
        <w:t>A review of the literature has shown that the effectiveness of corporate governance mechanisms is influenced by the institutional environment as well as by the cultural characteristics of each region. Thus, in OECD member countries, corporate governance is a key determinant of performance, unlike in emerging economies, where the impact of governance on performance depends on the company’s level of indebtedness.</w:t>
      </w:r>
    </w:p>
    <w:p w14:paraId="45E771FD" w14:textId="77777777" w:rsidR="00B808BD" w:rsidRPr="00B07B0D" w:rsidRDefault="00B808BD" w:rsidP="00F7593A">
      <w:pPr>
        <w:rPr>
          <w:szCs w:val="22"/>
          <w:lang w:val="en-US"/>
        </w:rPr>
      </w:pPr>
    </w:p>
    <w:p w14:paraId="4815ECAF" w14:textId="5DA446B9" w:rsidR="00CD579E" w:rsidRPr="00B07B0D" w:rsidRDefault="003479F7" w:rsidP="00F7593A">
      <w:pPr>
        <w:rPr>
          <w:szCs w:val="22"/>
          <w:lang w:val="en-US"/>
        </w:rPr>
      </w:pPr>
      <w:r w:rsidRPr="003479F7">
        <w:rPr>
          <w:szCs w:val="22"/>
          <w:lang w:val="en-US"/>
        </w:rPr>
        <w:t>Following the publication of the</w:t>
      </w:r>
      <w:r>
        <w:rPr>
          <w:szCs w:val="22"/>
          <w:lang w:val="en-US"/>
        </w:rPr>
        <w:t xml:space="preserve"> </w:t>
      </w:r>
      <w:r w:rsidRPr="003479F7">
        <w:rPr>
          <w:szCs w:val="22"/>
          <w:lang w:val="en-US"/>
        </w:rPr>
        <w:t>Cadbury Report in 1992,</w:t>
      </w:r>
      <w:r>
        <w:rPr>
          <w:szCs w:val="22"/>
          <w:lang w:val="en-US"/>
        </w:rPr>
        <w:t xml:space="preserve"> </w:t>
      </w:r>
      <w:r w:rsidRPr="003479F7">
        <w:rPr>
          <w:szCs w:val="22"/>
          <w:lang w:val="en-US"/>
        </w:rPr>
        <w:t>many countries implemented reforms aimed at strengthening corporate governance and restoring investor confidence in financial markets. (Ullah</w:t>
      </w:r>
      <w:r>
        <w:rPr>
          <w:szCs w:val="22"/>
          <w:lang w:val="en-US"/>
        </w:rPr>
        <w:t xml:space="preserve"> </w:t>
      </w:r>
      <w:r w:rsidRPr="003479F7">
        <w:rPr>
          <w:szCs w:val="22"/>
          <w:lang w:val="en-US"/>
        </w:rPr>
        <w:t>et al.,</w:t>
      </w:r>
      <w:r>
        <w:rPr>
          <w:szCs w:val="22"/>
          <w:lang w:val="en-US"/>
        </w:rPr>
        <w:t xml:space="preserve"> </w:t>
      </w:r>
      <w:r w:rsidRPr="003479F7">
        <w:rPr>
          <w:szCs w:val="22"/>
          <w:lang w:val="en-US"/>
        </w:rPr>
        <w:t>2021)</w:t>
      </w:r>
      <w:r w:rsidR="006E70DB" w:rsidRPr="00B07B0D">
        <w:rPr>
          <w:szCs w:val="22"/>
          <w:lang w:val="en-US"/>
        </w:rPr>
        <w:t xml:space="preserve">. Chen </w:t>
      </w:r>
      <w:r w:rsidR="006E70DB" w:rsidRPr="00B07B0D">
        <w:rPr>
          <w:i/>
          <w:iCs/>
          <w:szCs w:val="22"/>
          <w:lang w:val="en-US"/>
        </w:rPr>
        <w:t>et al.</w:t>
      </w:r>
      <w:r w:rsidR="006E70DB" w:rsidRPr="00B07B0D">
        <w:rPr>
          <w:szCs w:val="22"/>
          <w:lang w:val="en-US"/>
        </w:rPr>
        <w:t xml:space="preserve"> (2024) emphasize that these reforms improve the quality of financial reporting by requiring the independence of board members and audit committees, as well as by separating the roles of CEO (Chief Executive Officer) and chairman, in contrast to Fauver </w:t>
      </w:r>
      <w:r w:rsidR="006E70DB" w:rsidRPr="00B07B0D">
        <w:rPr>
          <w:i/>
          <w:iCs/>
          <w:szCs w:val="22"/>
          <w:lang w:val="en-US"/>
        </w:rPr>
        <w:t>et al.</w:t>
      </w:r>
      <w:r w:rsidR="006E70DB" w:rsidRPr="00B07B0D">
        <w:rPr>
          <w:szCs w:val="22"/>
          <w:lang w:val="en-US"/>
        </w:rPr>
        <w:t xml:space="preserve"> (2017), who argue that regulatory requirements compel companies to implement more rigorous monitoring standards.</w:t>
      </w:r>
    </w:p>
    <w:p w14:paraId="39949800" w14:textId="77777777" w:rsidR="006E70DB" w:rsidRPr="00B07B0D" w:rsidRDefault="006E70DB" w:rsidP="00F7593A">
      <w:pPr>
        <w:rPr>
          <w:szCs w:val="22"/>
          <w:lang w:val="en-US"/>
        </w:rPr>
      </w:pPr>
    </w:p>
    <w:p w14:paraId="7C0663B4" w14:textId="78DB277F" w:rsidR="00F617AD" w:rsidRPr="00B07B0D" w:rsidRDefault="00F617AD" w:rsidP="00F7593A">
      <w:pPr>
        <w:rPr>
          <w:szCs w:val="22"/>
          <w:lang w:val="en-US"/>
        </w:rPr>
      </w:pPr>
      <w:r w:rsidRPr="00B07B0D">
        <w:rPr>
          <w:szCs w:val="22"/>
          <w:lang w:val="en-US"/>
        </w:rPr>
        <w:t>Global board reforms contribute significantly to increasing investment efficiency by reducing both overinvestment and underinvestment and minimizing deviations from planned investment levels. These effects are primarily driven by reforms that enhance the independence of the board of directors and the audit committee, strengthening their ability to oversee managerial decisions. The positive impact of the reforms is more pronounced in countries that apply the “comply or explain” principle than in countries based on strict rules, highlighting the role of the institutional context (Lai &amp; Liu, 2025)</w:t>
      </w:r>
      <w:r w:rsidR="003A5409">
        <w:rPr>
          <w:szCs w:val="22"/>
          <w:lang w:val="en-US"/>
        </w:rPr>
        <w:t>.</w:t>
      </w:r>
    </w:p>
    <w:p w14:paraId="1E61B112" w14:textId="77777777" w:rsidR="00B65F0D" w:rsidRPr="00B07B0D" w:rsidRDefault="00B65F0D" w:rsidP="00F7593A">
      <w:pPr>
        <w:rPr>
          <w:szCs w:val="22"/>
          <w:lang w:val="en-US"/>
        </w:rPr>
      </w:pPr>
    </w:p>
    <w:p w14:paraId="47043A42" w14:textId="0C5A4ED2" w:rsidR="00B65F0D" w:rsidRPr="00B07B0D" w:rsidRDefault="00B65F0D" w:rsidP="00F7593A">
      <w:pPr>
        <w:rPr>
          <w:szCs w:val="22"/>
          <w:lang w:val="en-US"/>
        </w:rPr>
      </w:pPr>
      <w:r w:rsidRPr="00B07B0D">
        <w:rPr>
          <w:szCs w:val="22"/>
          <w:lang w:val="en-US"/>
        </w:rPr>
        <w:t xml:space="preserve">Hamad </w:t>
      </w:r>
      <w:r w:rsidR="003A5409">
        <w:rPr>
          <w:szCs w:val="22"/>
          <w:lang w:val="en-US"/>
        </w:rPr>
        <w:t>and</w:t>
      </w:r>
      <w:r w:rsidRPr="00B07B0D">
        <w:rPr>
          <w:szCs w:val="22"/>
          <w:lang w:val="en-US"/>
        </w:rPr>
        <w:t xml:space="preserve"> Cek (2023) indicate that corporate governance mechanisms, with the exception of attendance at audit committee meetings, have a significant positive impact on financial performance among listed companies in OECD countries such as Spain and Belgium. An exception is France, where results indicate a negative correlation between compliance with the Corporate Governance Code and net profitability indicators (ROA, ROE), due to differences in the country’s cultural and operational norms. Furthermore, it is found that most corporate governance mechanisms have a significant positive impact on earnings per share (EPS), whereas board size does not contribute significantly to EPS performance.</w:t>
      </w:r>
    </w:p>
    <w:p w14:paraId="0BC9B826" w14:textId="77777777" w:rsidR="00B65F0D" w:rsidRPr="00B07B0D" w:rsidRDefault="00B65F0D" w:rsidP="00F7593A">
      <w:pPr>
        <w:rPr>
          <w:szCs w:val="22"/>
          <w:lang w:val="en-US"/>
        </w:rPr>
      </w:pPr>
    </w:p>
    <w:p w14:paraId="2006BB76" w14:textId="38CFB991" w:rsidR="00B65F0D" w:rsidRPr="00B07B0D" w:rsidRDefault="00B65F0D" w:rsidP="00F7593A">
      <w:pPr>
        <w:rPr>
          <w:szCs w:val="22"/>
          <w:lang w:val="en-US"/>
        </w:rPr>
      </w:pPr>
      <w:r w:rsidRPr="00B07B0D">
        <w:rPr>
          <w:szCs w:val="22"/>
          <w:lang w:val="en-US"/>
        </w:rPr>
        <w:t>On the other hand, in the context of emerging markets</w:t>
      </w:r>
      <w:r w:rsidR="004B0740" w:rsidRPr="00B07B0D">
        <w:rPr>
          <w:szCs w:val="22"/>
          <w:lang w:val="en-US"/>
        </w:rPr>
        <w:t xml:space="preserve">, </w:t>
      </w:r>
      <w:r w:rsidRPr="00B07B0D">
        <w:rPr>
          <w:szCs w:val="22"/>
          <w:lang w:val="en-US"/>
        </w:rPr>
        <w:t>specifically Romania</w:t>
      </w:r>
      <w:r w:rsidR="004B0740" w:rsidRPr="00B07B0D">
        <w:rPr>
          <w:szCs w:val="22"/>
          <w:lang w:val="en-US"/>
        </w:rPr>
        <w:t xml:space="preserve">, </w:t>
      </w:r>
      <w:r w:rsidRPr="00B07B0D">
        <w:rPr>
          <w:szCs w:val="22"/>
          <w:lang w:val="en-US"/>
        </w:rPr>
        <w:t xml:space="preserve">the relationship between governance and performance presents methodological peculiarities. The adoption of the Corporate Governance Code in Romania is essential for reducing conflicts of interest and attracting capital. However, the results indicate that the implementation of corporate governance principles does not significantly influence financial performance when measured by ROE. Instead, corporate governance has a positive and significant effect on market performance, reflected in the ratio of the company’s market value to its asset value, suggesting that investors perceive governance practices as a signal of firm value growth. (Pintea </w:t>
      </w:r>
      <w:r w:rsidRPr="00B07B0D">
        <w:rPr>
          <w:i/>
          <w:iCs/>
          <w:szCs w:val="22"/>
          <w:lang w:val="en-US"/>
        </w:rPr>
        <w:t>et al</w:t>
      </w:r>
      <w:r w:rsidRPr="00B07B0D">
        <w:rPr>
          <w:szCs w:val="22"/>
          <w:lang w:val="en-US"/>
        </w:rPr>
        <w:t>., 2021)</w:t>
      </w:r>
    </w:p>
    <w:p w14:paraId="10B24D69" w14:textId="77777777" w:rsidR="00B65F0D" w:rsidRPr="00B07B0D" w:rsidRDefault="00B65F0D" w:rsidP="00F7593A">
      <w:pPr>
        <w:rPr>
          <w:szCs w:val="22"/>
          <w:lang w:val="en-US"/>
        </w:rPr>
      </w:pPr>
    </w:p>
    <w:p w14:paraId="5D7CFC6F" w14:textId="3010CC57" w:rsidR="00B65F0D" w:rsidRPr="00B07B0D" w:rsidRDefault="00B65F0D" w:rsidP="00F7593A">
      <w:pPr>
        <w:rPr>
          <w:szCs w:val="22"/>
          <w:lang w:val="en-US"/>
        </w:rPr>
      </w:pPr>
      <w:r w:rsidRPr="00B07B0D">
        <w:rPr>
          <w:szCs w:val="22"/>
          <w:lang w:val="en-US"/>
        </w:rPr>
        <w:t>In addition to the direct influence of corporate governance mechanisms on financial performance, recent research highlights the significant role of financial leverage as a mediating factor in this relationship. Differences between developed and developing economies underscore the fact that the effectiveness of corporate governance on financial performance depends largely on how companies manage their capital structure and financial risks. Unlike developed economies, which effectively integrate financial leverage into sustainable growth strategies, emerging or less developed economies often face challenges in optimally managing debt, which can have a negative impact on financial performance.</w:t>
      </w:r>
    </w:p>
    <w:p w14:paraId="21AD797A" w14:textId="77777777" w:rsidR="00B65F0D" w:rsidRPr="00B07B0D" w:rsidRDefault="00B65F0D" w:rsidP="00F7593A">
      <w:pPr>
        <w:rPr>
          <w:szCs w:val="22"/>
          <w:lang w:val="en-US"/>
        </w:rPr>
      </w:pPr>
    </w:p>
    <w:p w14:paraId="14C1AE68" w14:textId="190FEFCB" w:rsidR="00B65F0D" w:rsidRDefault="00B65F0D" w:rsidP="00B65F0D">
      <w:pPr>
        <w:rPr>
          <w:szCs w:val="22"/>
          <w:lang w:val="en-US"/>
        </w:rPr>
      </w:pPr>
      <w:r w:rsidRPr="00B07B0D">
        <w:rPr>
          <w:szCs w:val="22"/>
          <w:lang w:val="en-US"/>
        </w:rPr>
        <w:t xml:space="preserve">For example, the size and independence of the board of directors, the size of the audit committee, and the presence of women on the board have a positive influence on firm performance, an effect that is partially or fully mediated by financial leverage. More specifically, corporate governance contributes to the transfer of risk from shareholders to debt holders, which can increase the cost of financial distress by raising the level of indebtedness. Therefore, the effective use of financial leverage can amplify the positive impact of corporate governance on firm performance, highlighting the need for a balanced management of capital structure and internal control (Huynh </w:t>
      </w:r>
      <w:r w:rsidRPr="00B07B0D">
        <w:rPr>
          <w:i/>
          <w:iCs/>
          <w:szCs w:val="22"/>
          <w:lang w:val="en-US"/>
        </w:rPr>
        <w:t>et al</w:t>
      </w:r>
      <w:r w:rsidRPr="00B07B0D">
        <w:rPr>
          <w:szCs w:val="22"/>
          <w:lang w:val="en-US"/>
        </w:rPr>
        <w:t>., 2022)</w:t>
      </w:r>
      <w:r w:rsidR="00B07B0D" w:rsidRPr="00B07B0D">
        <w:rPr>
          <w:szCs w:val="22"/>
          <w:lang w:val="en-US"/>
        </w:rPr>
        <w:t>.</w:t>
      </w:r>
    </w:p>
    <w:p w14:paraId="136EF5AC" w14:textId="77777777" w:rsidR="002F20DE" w:rsidRPr="00B07B0D" w:rsidRDefault="002F20DE" w:rsidP="00B65F0D">
      <w:pPr>
        <w:rPr>
          <w:szCs w:val="22"/>
          <w:lang w:val="en-US"/>
        </w:rPr>
      </w:pPr>
    </w:p>
    <w:p w14:paraId="5DA700B2" w14:textId="513302DA" w:rsidR="00B65F0D" w:rsidRPr="00B07B0D" w:rsidRDefault="00B65F0D" w:rsidP="00B65F0D">
      <w:pPr>
        <w:rPr>
          <w:szCs w:val="22"/>
          <w:lang w:val="en-US"/>
        </w:rPr>
      </w:pPr>
      <w:r w:rsidRPr="00B07B0D">
        <w:rPr>
          <w:szCs w:val="22"/>
          <w:lang w:val="en-US"/>
        </w:rPr>
        <w:t xml:space="preserve">Chandani </w:t>
      </w:r>
      <w:r w:rsidR="003A5409">
        <w:rPr>
          <w:szCs w:val="22"/>
          <w:lang w:val="en-US"/>
        </w:rPr>
        <w:t>and</w:t>
      </w:r>
      <w:r w:rsidRPr="00B07B0D">
        <w:rPr>
          <w:szCs w:val="22"/>
          <w:lang w:val="en-US"/>
        </w:rPr>
        <w:t xml:space="preserve"> Ahmed (2021), based on data from Pakistani companies, find that while the size of the board of directors, the audit committee, and executive compensation have a positive correlation with financial performance (measured by ROA and ROE), financial leverage has a negative impact on firm performance.</w:t>
      </w:r>
    </w:p>
    <w:p w14:paraId="61921937" w14:textId="77777777" w:rsidR="00B65F0D" w:rsidRPr="00B07B0D" w:rsidRDefault="00B65F0D" w:rsidP="00B65F0D">
      <w:pPr>
        <w:rPr>
          <w:szCs w:val="22"/>
          <w:lang w:val="en-US"/>
        </w:rPr>
      </w:pPr>
    </w:p>
    <w:p w14:paraId="3469EEF1" w14:textId="54D1A58B" w:rsidR="00B65F0D" w:rsidRPr="00B07B0D" w:rsidRDefault="00B65F0D" w:rsidP="00B65F0D">
      <w:pPr>
        <w:rPr>
          <w:szCs w:val="22"/>
          <w:lang w:val="en-US"/>
        </w:rPr>
      </w:pPr>
      <w:r w:rsidRPr="00B07B0D">
        <w:rPr>
          <w:szCs w:val="22"/>
          <w:lang w:val="en-US"/>
        </w:rPr>
        <w:t xml:space="preserve">Pucheta-Martínez </w:t>
      </w:r>
      <w:r w:rsidRPr="00B07B0D">
        <w:rPr>
          <w:i/>
          <w:iCs/>
          <w:szCs w:val="22"/>
          <w:lang w:val="en-US"/>
        </w:rPr>
        <w:t>et al.</w:t>
      </w:r>
      <w:r w:rsidRPr="00B07B0D">
        <w:rPr>
          <w:szCs w:val="22"/>
          <w:lang w:val="en-US"/>
        </w:rPr>
        <w:t xml:space="preserve"> (2020), through their analysis of the influence of national institutions on corporate governance mechanisms at the international level, highlight the decisive role of the national context on governance mechanisms. They also note that the proportion of women on boards of directors, as well as the existence of committees dedicated to corporate governance, is higher in companies operating in liberal market economies compared to those in economic systems characterized by a higher degree of regulation.</w:t>
      </w:r>
    </w:p>
    <w:p w14:paraId="171CDCB9" w14:textId="77777777" w:rsidR="00665C06" w:rsidRPr="00B07B0D" w:rsidRDefault="00665C06" w:rsidP="002F6A79">
      <w:pPr>
        <w:rPr>
          <w:szCs w:val="22"/>
          <w:lang w:val="en-US"/>
        </w:rPr>
      </w:pPr>
    </w:p>
    <w:p w14:paraId="14FDD4B1" w14:textId="778DFEF3" w:rsidR="00665C06" w:rsidRPr="003A5409" w:rsidRDefault="003A5409" w:rsidP="002F20DE">
      <w:pPr>
        <w:ind w:left="420" w:hanging="420"/>
        <w:jc w:val="left"/>
        <w:rPr>
          <w:b/>
          <w:bCs/>
          <w:sz w:val="24"/>
          <w:lang w:val="en-US"/>
        </w:rPr>
      </w:pPr>
      <w:r>
        <w:rPr>
          <w:b/>
          <w:bCs/>
          <w:sz w:val="24"/>
          <w:lang w:val="en-US"/>
        </w:rPr>
        <w:t>2.2</w:t>
      </w:r>
      <w:r w:rsidRPr="003A5409">
        <w:rPr>
          <w:b/>
          <w:bCs/>
          <w:sz w:val="24"/>
          <w:lang w:val="en-US"/>
        </w:rPr>
        <w:t xml:space="preserve"> </w:t>
      </w:r>
      <w:r w:rsidR="00A10113" w:rsidRPr="003A5409">
        <w:rPr>
          <w:b/>
          <w:bCs/>
          <w:sz w:val="24"/>
          <w:lang w:val="en-US"/>
        </w:rPr>
        <w:t>The impact of corporate governance mechanisms on financial performance</w:t>
      </w:r>
    </w:p>
    <w:p w14:paraId="5377C6D8" w14:textId="77777777" w:rsidR="002747A7" w:rsidRPr="00B07B0D" w:rsidRDefault="002747A7" w:rsidP="00F7593A">
      <w:pPr>
        <w:rPr>
          <w:szCs w:val="22"/>
          <w:lang w:val="en-US"/>
        </w:rPr>
      </w:pPr>
    </w:p>
    <w:p w14:paraId="2CCC2AE8" w14:textId="091B0F29" w:rsidR="0099221B" w:rsidRPr="00B07B0D" w:rsidRDefault="0099221B" w:rsidP="00F7593A">
      <w:pPr>
        <w:rPr>
          <w:szCs w:val="22"/>
          <w:lang w:val="en-US"/>
        </w:rPr>
      </w:pPr>
      <w:r w:rsidRPr="00B07B0D">
        <w:rPr>
          <w:szCs w:val="22"/>
          <w:lang w:val="en-US"/>
        </w:rPr>
        <w:t xml:space="preserve">Corporate governance is an essential component of modern organizational architecture, ensuring improved economic efficiency and fostering an environment conducive to investment, while also preventing capital distortions or the risk of fraud characteristic of a flawed system. Many countries have undertaken corporate governance reforms in an effort to strengthen investor protection. Most reforms focus on board-related practices, such as requiring greater board independence, promoting the independence of the audit committee and auditors, and separating the roles of chairman and chief executive officer (Liao </w:t>
      </w:r>
      <w:r w:rsidRPr="00B07B0D">
        <w:rPr>
          <w:i/>
          <w:iCs/>
          <w:szCs w:val="22"/>
          <w:lang w:val="en-US"/>
        </w:rPr>
        <w:t>et al</w:t>
      </w:r>
      <w:r w:rsidRPr="00B07B0D">
        <w:rPr>
          <w:szCs w:val="22"/>
          <w:lang w:val="en-US"/>
        </w:rPr>
        <w:t>., 2024)</w:t>
      </w:r>
      <w:r w:rsidR="003A5409">
        <w:rPr>
          <w:szCs w:val="22"/>
          <w:lang w:val="en-US"/>
        </w:rPr>
        <w:t>.</w:t>
      </w:r>
    </w:p>
    <w:p w14:paraId="05336518" w14:textId="77777777" w:rsidR="0099221B" w:rsidRPr="00B07B0D" w:rsidRDefault="0099221B" w:rsidP="00F7593A">
      <w:pPr>
        <w:rPr>
          <w:szCs w:val="22"/>
          <w:lang w:val="en-US"/>
        </w:rPr>
      </w:pPr>
    </w:p>
    <w:p w14:paraId="3627A081" w14:textId="0E161008" w:rsidR="0099221B" w:rsidRPr="00B07B0D" w:rsidRDefault="0099221B" w:rsidP="0099221B">
      <w:pPr>
        <w:rPr>
          <w:szCs w:val="22"/>
          <w:lang w:val="en-US"/>
        </w:rPr>
      </w:pPr>
      <w:r w:rsidRPr="00B07B0D">
        <w:rPr>
          <w:szCs w:val="22"/>
          <w:lang w:val="en-US"/>
        </w:rPr>
        <w:t>Companies benefit significantly from the strengthening of governance mechanisms (board structure, board composition, concentrated ownership, executive ownership, and executive compensation), as these lead to superior financial performance and, by extension, serve the interests of all stakeholders (</w:t>
      </w:r>
      <w:proofErr w:type="spellStart"/>
      <w:r w:rsidRPr="00B07B0D">
        <w:rPr>
          <w:szCs w:val="22"/>
          <w:lang w:val="en-US"/>
        </w:rPr>
        <w:t>Raithatha</w:t>
      </w:r>
      <w:proofErr w:type="spellEnd"/>
      <w:r w:rsidRPr="00B07B0D">
        <w:rPr>
          <w:szCs w:val="22"/>
          <w:lang w:val="en-US"/>
        </w:rPr>
        <w:t xml:space="preserve"> &amp; Haldar, 2021)</w:t>
      </w:r>
      <w:r w:rsidR="003A5409">
        <w:rPr>
          <w:szCs w:val="22"/>
          <w:lang w:val="en-US"/>
        </w:rPr>
        <w:t>.</w:t>
      </w:r>
    </w:p>
    <w:p w14:paraId="440F1942" w14:textId="77777777" w:rsidR="00C5138E" w:rsidRPr="00B07B0D" w:rsidRDefault="00C5138E" w:rsidP="0099221B">
      <w:pPr>
        <w:rPr>
          <w:szCs w:val="22"/>
          <w:lang w:val="en-US"/>
        </w:rPr>
      </w:pPr>
    </w:p>
    <w:p w14:paraId="3FAE7C41" w14:textId="75EB7F38" w:rsidR="0099221B" w:rsidRPr="00B07B0D" w:rsidRDefault="0099221B" w:rsidP="0099221B">
      <w:pPr>
        <w:rPr>
          <w:szCs w:val="22"/>
          <w:lang w:val="en-US"/>
        </w:rPr>
      </w:pPr>
      <w:r w:rsidRPr="00B07B0D">
        <w:rPr>
          <w:szCs w:val="22"/>
          <w:lang w:val="en-US"/>
        </w:rPr>
        <w:t>The literature highlights the importance of agency theory in explaining the relationship between corporate governance and financial performance. (</w:t>
      </w:r>
      <w:proofErr w:type="spellStart"/>
      <w:r w:rsidR="003A5409" w:rsidRPr="00B07B0D">
        <w:rPr>
          <w:szCs w:val="22"/>
          <w:lang w:val="en-US"/>
        </w:rPr>
        <w:t>Meqbel</w:t>
      </w:r>
      <w:proofErr w:type="spellEnd"/>
      <w:r w:rsidR="003A5409" w:rsidRPr="00B07B0D">
        <w:rPr>
          <w:szCs w:val="22"/>
          <w:lang w:val="en-US"/>
        </w:rPr>
        <w:t xml:space="preserve"> </w:t>
      </w:r>
      <w:r w:rsidR="003A5409" w:rsidRPr="00B07B0D">
        <w:rPr>
          <w:i/>
          <w:iCs/>
          <w:szCs w:val="22"/>
          <w:lang w:val="en-US"/>
        </w:rPr>
        <w:t>et al</w:t>
      </w:r>
      <w:r w:rsidR="003A5409" w:rsidRPr="00B07B0D">
        <w:rPr>
          <w:szCs w:val="22"/>
          <w:lang w:val="en-US"/>
        </w:rPr>
        <w:t xml:space="preserve">., 2025; </w:t>
      </w:r>
      <w:r w:rsidRPr="00B07B0D">
        <w:rPr>
          <w:szCs w:val="22"/>
          <w:lang w:val="en-US"/>
        </w:rPr>
        <w:t xml:space="preserve">Da Silva </w:t>
      </w:r>
      <w:r w:rsidRPr="00B07B0D">
        <w:rPr>
          <w:i/>
          <w:iCs/>
          <w:szCs w:val="22"/>
          <w:lang w:val="en-US"/>
        </w:rPr>
        <w:t>et al</w:t>
      </w:r>
      <w:r w:rsidRPr="00B07B0D">
        <w:rPr>
          <w:szCs w:val="22"/>
          <w:lang w:val="en-US"/>
        </w:rPr>
        <w:t>., 2024; Acero &amp; Alcalde, 2021; Kyere &amp; Ausloos</w:t>
      </w:r>
      <w:r w:rsidR="00107B20" w:rsidRPr="00B07B0D">
        <w:rPr>
          <w:szCs w:val="22"/>
          <w:lang w:val="en-US"/>
        </w:rPr>
        <w:t>,</w:t>
      </w:r>
      <w:r w:rsidRPr="00B07B0D">
        <w:rPr>
          <w:szCs w:val="22"/>
          <w:lang w:val="en-US"/>
        </w:rPr>
        <w:t xml:space="preserve"> 2021; García &amp; Herrero</w:t>
      </w:r>
      <w:r w:rsidR="00107B20" w:rsidRPr="00B07B0D">
        <w:rPr>
          <w:szCs w:val="22"/>
          <w:lang w:val="en-US"/>
        </w:rPr>
        <w:t>,</w:t>
      </w:r>
      <w:r w:rsidRPr="00B07B0D">
        <w:rPr>
          <w:szCs w:val="22"/>
          <w:lang w:val="en-US"/>
        </w:rPr>
        <w:t xml:space="preserve"> 2021) The separation of ownership and control in organizations has led to the emergence of conflicts inherent to this reallocation, known as agency conflicts. In this context, agency theory analyzes the relationship between principal and agent, as well as the mechanisms through which its dysfunctions can be mitigated. Thus, corporate governance is conceptualized as a set of rules and instruments designed to reduce information asymmetry, conflicts of interest, and opportunistic behavior in business relationships (Da Silva </w:t>
      </w:r>
      <w:r w:rsidRPr="00B07B0D">
        <w:rPr>
          <w:i/>
          <w:iCs/>
          <w:szCs w:val="22"/>
          <w:lang w:val="en-US"/>
        </w:rPr>
        <w:t>et al</w:t>
      </w:r>
      <w:r w:rsidRPr="00B07B0D">
        <w:rPr>
          <w:szCs w:val="22"/>
          <w:lang w:val="en-US"/>
        </w:rPr>
        <w:t>., 2024)</w:t>
      </w:r>
    </w:p>
    <w:p w14:paraId="45D3063D" w14:textId="1F2506EC" w:rsidR="000707C2" w:rsidRPr="00B07B0D" w:rsidRDefault="000707C2" w:rsidP="000707C2">
      <w:pPr>
        <w:rPr>
          <w:szCs w:val="22"/>
          <w:lang w:val="en-US"/>
        </w:rPr>
      </w:pPr>
    </w:p>
    <w:p w14:paraId="1490FBA1" w14:textId="15D1FA74" w:rsidR="0099221B" w:rsidRPr="00B07B0D" w:rsidRDefault="0099221B" w:rsidP="0099221B">
      <w:pPr>
        <w:rPr>
          <w:szCs w:val="22"/>
          <w:lang w:val="en-US"/>
        </w:rPr>
      </w:pPr>
      <w:r w:rsidRPr="00B07B0D">
        <w:rPr>
          <w:szCs w:val="22"/>
          <w:lang w:val="en-US"/>
        </w:rPr>
        <w:t>Within the framework of Agency Theory, boards of directors are considered more effective in performing their oversight function when they are small in size, include a higher proportion of outside directors, and when the roles of CEO and board chair are separate (Acero &amp; Alcalde, 2021)</w:t>
      </w:r>
      <w:r w:rsidR="00B07B0D">
        <w:rPr>
          <w:szCs w:val="22"/>
          <w:lang w:val="en-US"/>
        </w:rPr>
        <w:t>.</w:t>
      </w:r>
    </w:p>
    <w:p w14:paraId="43C44C81" w14:textId="3381F315" w:rsidR="004B0740" w:rsidRPr="00B07B0D" w:rsidRDefault="004B0740" w:rsidP="0099221B">
      <w:pPr>
        <w:rPr>
          <w:szCs w:val="22"/>
          <w:lang w:val="en-US"/>
        </w:rPr>
      </w:pPr>
      <w:r w:rsidRPr="00B07B0D">
        <w:rPr>
          <w:szCs w:val="22"/>
          <w:lang w:val="en-US"/>
        </w:rPr>
        <w:t xml:space="preserve">The presence of independent directors on boards of directors has a significant economic impact; for example, a 10% increase in the proportion of independent directors is associated with a 0.93% improvement in return on equity (Mihail </w:t>
      </w:r>
      <w:r w:rsidRPr="00B07B0D">
        <w:rPr>
          <w:i/>
          <w:iCs/>
          <w:szCs w:val="22"/>
          <w:lang w:val="en-US"/>
        </w:rPr>
        <w:t>et al</w:t>
      </w:r>
      <w:r w:rsidRPr="00B07B0D">
        <w:rPr>
          <w:szCs w:val="22"/>
          <w:lang w:val="en-US"/>
        </w:rPr>
        <w:t>., 2022)</w:t>
      </w:r>
      <w:r w:rsidR="00B07B0D">
        <w:rPr>
          <w:szCs w:val="22"/>
          <w:lang w:val="en-US"/>
        </w:rPr>
        <w:t>.</w:t>
      </w:r>
    </w:p>
    <w:p w14:paraId="0DC9B93E" w14:textId="77777777" w:rsidR="00C5138E" w:rsidRPr="00B07B0D" w:rsidRDefault="00C5138E" w:rsidP="0099221B">
      <w:pPr>
        <w:rPr>
          <w:szCs w:val="22"/>
          <w:lang w:val="en-US"/>
        </w:rPr>
      </w:pPr>
    </w:p>
    <w:p w14:paraId="16F1C4AF" w14:textId="7CA3AC85" w:rsidR="00506516" w:rsidRPr="00B07B0D" w:rsidRDefault="0099221B" w:rsidP="0099221B">
      <w:pPr>
        <w:rPr>
          <w:szCs w:val="22"/>
          <w:lang w:val="en-US"/>
        </w:rPr>
      </w:pPr>
      <w:r w:rsidRPr="00B07B0D">
        <w:rPr>
          <w:szCs w:val="22"/>
          <w:lang w:val="en-US"/>
        </w:rPr>
        <w:t>In the same vein, Al</w:t>
      </w:r>
      <w:r w:rsidR="00B07B0D">
        <w:rPr>
          <w:szCs w:val="22"/>
          <w:lang w:val="en-US"/>
        </w:rPr>
        <w:t>l</w:t>
      </w:r>
      <w:r w:rsidRPr="00B07B0D">
        <w:rPr>
          <w:szCs w:val="22"/>
          <w:lang w:val="en-US"/>
        </w:rPr>
        <w:t xml:space="preserve">ey </w:t>
      </w:r>
      <w:r w:rsidRPr="00B07B0D">
        <w:rPr>
          <w:i/>
          <w:iCs/>
          <w:szCs w:val="22"/>
          <w:lang w:val="en-US"/>
        </w:rPr>
        <w:t>et al.</w:t>
      </w:r>
      <w:r w:rsidRPr="00B07B0D">
        <w:rPr>
          <w:szCs w:val="22"/>
          <w:lang w:val="en-US"/>
        </w:rPr>
        <w:t xml:space="preserve"> (2016) show that the structure of the board of directors, as well as the management skills possessed by board members, significantly improved financial performance indicators, such as: return on equity, return on assets, and net profit margin. </w:t>
      </w:r>
    </w:p>
    <w:p w14:paraId="7C9A24E2" w14:textId="77777777" w:rsidR="00506516" w:rsidRPr="00B07B0D" w:rsidRDefault="00506516" w:rsidP="0099221B">
      <w:pPr>
        <w:rPr>
          <w:szCs w:val="22"/>
          <w:lang w:val="en-US"/>
        </w:rPr>
      </w:pPr>
    </w:p>
    <w:p w14:paraId="76DB6488" w14:textId="49D324C8" w:rsidR="0099221B" w:rsidRPr="00B07B0D" w:rsidRDefault="0099221B" w:rsidP="0099221B">
      <w:pPr>
        <w:rPr>
          <w:szCs w:val="22"/>
          <w:lang w:val="en-US"/>
        </w:rPr>
      </w:pPr>
      <w:r w:rsidRPr="00B07B0D">
        <w:rPr>
          <w:szCs w:val="22"/>
          <w:lang w:val="en-US"/>
        </w:rPr>
        <w:t xml:space="preserve">In contrast, the size of the board of directors and the size of the audit committee are not associated with improvements in financial performance, and there are indications that they may even have a negative impact on it. At the same time, analyses of the impact of audit committee activities on financial performance have yielded mixed results: </w:t>
      </w:r>
      <w:proofErr w:type="spellStart"/>
      <w:r w:rsidRPr="00B07B0D">
        <w:rPr>
          <w:szCs w:val="22"/>
          <w:lang w:val="en-US"/>
        </w:rPr>
        <w:t>Chechet</w:t>
      </w:r>
      <w:proofErr w:type="spellEnd"/>
      <w:r w:rsidRPr="00B07B0D">
        <w:rPr>
          <w:szCs w:val="22"/>
          <w:lang w:val="en-US"/>
        </w:rPr>
        <w:t xml:space="preserve"> </w:t>
      </w:r>
      <w:r w:rsidRPr="00B07B0D">
        <w:rPr>
          <w:i/>
          <w:iCs/>
          <w:szCs w:val="22"/>
          <w:lang w:val="en-US"/>
        </w:rPr>
        <w:t>et al.</w:t>
      </w:r>
      <w:r w:rsidRPr="00B07B0D">
        <w:rPr>
          <w:szCs w:val="22"/>
          <w:lang w:val="en-US"/>
        </w:rPr>
        <w:t xml:space="preserve"> (2013) find that audit committee activities have a positive impact on financial performance, in contrast to </w:t>
      </w:r>
      <w:r w:rsidR="006F5D0F">
        <w:rPr>
          <w:szCs w:val="22"/>
          <w:lang w:val="en-US"/>
        </w:rPr>
        <w:t>Fanta</w:t>
      </w:r>
      <w:r w:rsidRPr="00B07B0D">
        <w:rPr>
          <w:szCs w:val="22"/>
          <w:lang w:val="en-US"/>
        </w:rPr>
        <w:t xml:space="preserve"> </w:t>
      </w:r>
      <w:r w:rsidRPr="00B07B0D">
        <w:rPr>
          <w:i/>
          <w:iCs/>
          <w:szCs w:val="22"/>
          <w:lang w:val="en-US"/>
        </w:rPr>
        <w:t>et al.</w:t>
      </w:r>
      <w:r w:rsidRPr="00B07B0D">
        <w:rPr>
          <w:szCs w:val="22"/>
          <w:lang w:val="en-US"/>
        </w:rPr>
        <w:t xml:space="preserve"> (2013), who find the opposite.</w:t>
      </w:r>
    </w:p>
    <w:p w14:paraId="7BBB6F6E" w14:textId="77777777" w:rsidR="00C5138E" w:rsidRPr="00B07B0D" w:rsidRDefault="00C5138E" w:rsidP="0099221B">
      <w:pPr>
        <w:rPr>
          <w:szCs w:val="22"/>
          <w:lang w:val="en-US"/>
        </w:rPr>
      </w:pPr>
    </w:p>
    <w:p w14:paraId="59ACB11D" w14:textId="77777777" w:rsidR="0099221B" w:rsidRPr="00B07B0D" w:rsidRDefault="0099221B" w:rsidP="0099221B">
      <w:pPr>
        <w:rPr>
          <w:szCs w:val="22"/>
          <w:lang w:val="en-US"/>
        </w:rPr>
      </w:pPr>
      <w:r w:rsidRPr="00B07B0D">
        <w:rPr>
          <w:szCs w:val="22"/>
          <w:lang w:val="en-US"/>
        </w:rPr>
        <w:t xml:space="preserve">Thus, the literature highlights significant effects of board characteristics on financial performance, which supports the following research hypothesis: </w:t>
      </w:r>
    </w:p>
    <w:p w14:paraId="5113921B" w14:textId="77777777" w:rsidR="0099221B" w:rsidRPr="00B07B0D" w:rsidRDefault="0099221B" w:rsidP="0099221B">
      <w:pPr>
        <w:rPr>
          <w:szCs w:val="22"/>
          <w:lang w:val="en-US"/>
        </w:rPr>
      </w:pPr>
    </w:p>
    <w:p w14:paraId="76D8F736" w14:textId="26A277AB" w:rsidR="0099221B" w:rsidRPr="00B07B0D" w:rsidRDefault="0099221B" w:rsidP="0099221B">
      <w:pPr>
        <w:rPr>
          <w:i/>
          <w:iCs/>
          <w:szCs w:val="22"/>
          <w:lang w:val="en-US"/>
        </w:rPr>
      </w:pPr>
      <w:r w:rsidRPr="00B07B0D">
        <w:rPr>
          <w:b/>
          <w:bCs/>
          <w:i/>
          <w:iCs/>
          <w:szCs w:val="22"/>
          <w:lang w:val="en-US"/>
        </w:rPr>
        <w:t>H</w:t>
      </w:r>
      <w:r w:rsidRPr="005C23ED">
        <w:rPr>
          <w:b/>
          <w:bCs/>
          <w:i/>
          <w:iCs/>
          <w:szCs w:val="22"/>
          <w:vertAlign w:val="subscript"/>
          <w:lang w:val="en-US"/>
        </w:rPr>
        <w:t>1</w:t>
      </w:r>
      <w:r w:rsidR="00844B0F" w:rsidRPr="005C23ED">
        <w:rPr>
          <w:i/>
          <w:iCs/>
          <w:szCs w:val="22"/>
          <w:lang w:val="en-US"/>
        </w:rPr>
        <w:t>:</w:t>
      </w:r>
      <w:r w:rsidRPr="00B07B0D">
        <w:rPr>
          <w:i/>
          <w:iCs/>
          <w:szCs w:val="22"/>
          <w:lang w:val="en-US"/>
        </w:rPr>
        <w:t xml:space="preserve"> The characteristics of the board structure significantly influence financial performance.</w:t>
      </w:r>
    </w:p>
    <w:p w14:paraId="5BB80B3E" w14:textId="77777777" w:rsidR="0099221B" w:rsidRPr="00B07B0D" w:rsidRDefault="0099221B" w:rsidP="0099221B">
      <w:pPr>
        <w:rPr>
          <w:szCs w:val="22"/>
          <w:lang w:val="en-US"/>
        </w:rPr>
      </w:pPr>
    </w:p>
    <w:p w14:paraId="6027962B" w14:textId="724A236A" w:rsidR="0099221B" w:rsidRPr="00B07B0D" w:rsidRDefault="0099221B" w:rsidP="0099221B">
      <w:pPr>
        <w:rPr>
          <w:szCs w:val="22"/>
          <w:lang w:val="en-US"/>
        </w:rPr>
      </w:pPr>
      <w:r w:rsidRPr="00B07B0D">
        <w:rPr>
          <w:szCs w:val="22"/>
          <w:lang w:val="en-US"/>
        </w:rPr>
        <w:t>Referring to the central role of the audit committee in the oversight and control of financial activities, the literature emphasizes that the effective fulfillment of its responsibilities cannot be achieved without close and constant collaboration with the internal audit department, as there is a relationship of interdependence between the two that is essential for strengthening internal control, effectively managing risks, and ensuring transparency in financial reporting (Tu</w:t>
      </w:r>
      <w:r w:rsidR="00B07B0D" w:rsidRPr="00B07B0D">
        <w:rPr>
          <w:szCs w:val="22"/>
          <w:lang w:val="en-US"/>
        </w:rPr>
        <w:t>š</w:t>
      </w:r>
      <w:r w:rsidRPr="00B07B0D">
        <w:rPr>
          <w:szCs w:val="22"/>
          <w:lang w:val="en-US"/>
        </w:rPr>
        <w:t>ek, 2015).</w:t>
      </w:r>
    </w:p>
    <w:p w14:paraId="6225AF0A" w14:textId="77777777" w:rsidR="00506516" w:rsidRPr="00B07B0D" w:rsidRDefault="00506516" w:rsidP="00BE1B06">
      <w:pPr>
        <w:rPr>
          <w:szCs w:val="22"/>
          <w:lang w:val="en-US"/>
        </w:rPr>
      </w:pPr>
    </w:p>
    <w:p w14:paraId="246D1CD0" w14:textId="588785D2" w:rsidR="00BE1B06" w:rsidRPr="00B07B0D" w:rsidRDefault="00BE1B06" w:rsidP="00BE1B06">
      <w:pPr>
        <w:rPr>
          <w:szCs w:val="22"/>
          <w:lang w:val="en-US"/>
        </w:rPr>
      </w:pPr>
      <w:r w:rsidRPr="00B07B0D">
        <w:rPr>
          <w:szCs w:val="22"/>
          <w:lang w:val="en-US"/>
        </w:rPr>
        <w:t>Compliance with international internal audit standards, auditor independence, and the implementation of sound corporate governance practices have a significant positive impact on the financial performance of banking institutions. At the same time, the size of the internal audit committee and the frequency of its meetings have a positive but insignificant effect on financial performance, thus highlighting that the effectiveness of audit processes depends more on their quality and independence than on the frequency of meetings or the size of the committee. (</w:t>
      </w:r>
      <w:proofErr w:type="spellStart"/>
      <w:r w:rsidRPr="00B07B0D">
        <w:rPr>
          <w:szCs w:val="22"/>
          <w:lang w:val="en-US"/>
        </w:rPr>
        <w:t>Hazaea</w:t>
      </w:r>
      <w:proofErr w:type="spellEnd"/>
      <w:r w:rsidRPr="00B07B0D">
        <w:rPr>
          <w:szCs w:val="22"/>
          <w:lang w:val="en-US"/>
        </w:rPr>
        <w:t xml:space="preserve"> </w:t>
      </w:r>
      <w:r w:rsidRPr="00B07B0D">
        <w:rPr>
          <w:i/>
          <w:iCs/>
          <w:szCs w:val="22"/>
          <w:lang w:val="en-US"/>
        </w:rPr>
        <w:t>et al</w:t>
      </w:r>
      <w:r w:rsidRPr="00B07B0D">
        <w:rPr>
          <w:szCs w:val="22"/>
          <w:lang w:val="en-US"/>
        </w:rPr>
        <w:t>.</w:t>
      </w:r>
      <w:r w:rsidR="00530B60" w:rsidRPr="00B07B0D">
        <w:rPr>
          <w:szCs w:val="22"/>
          <w:lang w:val="en-US"/>
        </w:rPr>
        <w:t>,</w:t>
      </w:r>
      <w:r w:rsidRPr="00B07B0D">
        <w:rPr>
          <w:szCs w:val="22"/>
          <w:lang w:val="en-US"/>
        </w:rPr>
        <w:t xml:space="preserve"> 2020)</w:t>
      </w:r>
    </w:p>
    <w:p w14:paraId="08F71336" w14:textId="77777777" w:rsidR="00BE1B06" w:rsidRPr="00B07B0D" w:rsidRDefault="00BE1B06" w:rsidP="00BE1B06">
      <w:pPr>
        <w:rPr>
          <w:szCs w:val="22"/>
          <w:lang w:val="en-US"/>
        </w:rPr>
      </w:pPr>
    </w:p>
    <w:p w14:paraId="2563AFCF" w14:textId="34F4037C" w:rsidR="00BE1B06" w:rsidRPr="00B07B0D" w:rsidRDefault="00BE1B06" w:rsidP="00BE1B06">
      <w:pPr>
        <w:rPr>
          <w:szCs w:val="22"/>
          <w:lang w:val="en-US"/>
        </w:rPr>
      </w:pPr>
      <w:r w:rsidRPr="00B07B0D">
        <w:rPr>
          <w:szCs w:val="22"/>
          <w:lang w:val="en-US"/>
        </w:rPr>
        <w:t>Based on this evidence from the literature regarding the role of internal audit and the audit committee in strengthening corporate governance and financial performance, the following research hypothesis is formulated:</w:t>
      </w:r>
    </w:p>
    <w:p w14:paraId="6D099387" w14:textId="77777777" w:rsidR="00506516" w:rsidRPr="00B07B0D" w:rsidRDefault="00506516" w:rsidP="00BE1B06">
      <w:pPr>
        <w:rPr>
          <w:szCs w:val="22"/>
          <w:lang w:val="en-US"/>
        </w:rPr>
      </w:pPr>
    </w:p>
    <w:p w14:paraId="6D85C09F" w14:textId="2719E725" w:rsidR="00C5138E" w:rsidRPr="00B07B0D" w:rsidRDefault="00BE1B06" w:rsidP="000707C2">
      <w:pPr>
        <w:rPr>
          <w:i/>
          <w:iCs/>
          <w:szCs w:val="22"/>
          <w:lang w:val="en-US"/>
        </w:rPr>
      </w:pPr>
      <w:r w:rsidRPr="00B07B0D">
        <w:rPr>
          <w:b/>
          <w:bCs/>
          <w:i/>
          <w:iCs/>
          <w:szCs w:val="22"/>
          <w:lang w:val="en-US"/>
        </w:rPr>
        <w:t>H</w:t>
      </w:r>
      <w:r w:rsidRPr="00B07B0D">
        <w:rPr>
          <w:b/>
          <w:bCs/>
          <w:i/>
          <w:iCs/>
          <w:szCs w:val="22"/>
          <w:vertAlign w:val="subscript"/>
          <w:lang w:val="en-US"/>
        </w:rPr>
        <w:t>2</w:t>
      </w:r>
      <w:r w:rsidR="00844B0F" w:rsidRPr="00B07B0D">
        <w:rPr>
          <w:i/>
          <w:iCs/>
          <w:szCs w:val="22"/>
          <w:lang w:val="en-US"/>
        </w:rPr>
        <w:t>:</w:t>
      </w:r>
      <w:r w:rsidRPr="00B07B0D">
        <w:rPr>
          <w:i/>
          <w:iCs/>
          <w:szCs w:val="22"/>
          <w:lang w:val="en-US"/>
        </w:rPr>
        <w:t xml:space="preserve"> The effectiveness of audit characteristics contributes positively to improving financial performance.</w:t>
      </w:r>
    </w:p>
    <w:p w14:paraId="15618066" w14:textId="77777777" w:rsidR="00506516" w:rsidRPr="00B07B0D" w:rsidRDefault="00506516" w:rsidP="000707C2">
      <w:pPr>
        <w:rPr>
          <w:i/>
          <w:iCs/>
          <w:szCs w:val="22"/>
          <w:lang w:val="en-US"/>
        </w:rPr>
      </w:pPr>
    </w:p>
    <w:p w14:paraId="4F9959A0" w14:textId="3B1CC519" w:rsidR="000707C2" w:rsidRPr="003A5409" w:rsidRDefault="003A5409" w:rsidP="003A5409">
      <w:pPr>
        <w:rPr>
          <w:sz w:val="24"/>
          <w:lang w:val="en-US"/>
        </w:rPr>
      </w:pPr>
      <w:r>
        <w:rPr>
          <w:b/>
          <w:bCs/>
          <w:sz w:val="24"/>
          <w:lang w:val="en-US"/>
        </w:rPr>
        <w:t xml:space="preserve">2.3 </w:t>
      </w:r>
      <w:r w:rsidR="000707C2" w:rsidRPr="003A5409">
        <w:rPr>
          <w:b/>
          <w:bCs/>
          <w:sz w:val="24"/>
          <w:lang w:val="en-US"/>
        </w:rPr>
        <w:t>The role of gender diversity in optimizing financial performance</w:t>
      </w:r>
    </w:p>
    <w:p w14:paraId="0183F84A" w14:textId="77777777" w:rsidR="008C2254" w:rsidRPr="00B07B0D" w:rsidRDefault="008C2254" w:rsidP="008C2254">
      <w:pPr>
        <w:rPr>
          <w:szCs w:val="22"/>
          <w:lang w:val="en-US"/>
        </w:rPr>
      </w:pPr>
    </w:p>
    <w:p w14:paraId="6D1F835E" w14:textId="4C5BD652" w:rsidR="008C2254" w:rsidRPr="00B07B0D" w:rsidRDefault="008C2254" w:rsidP="008C2254">
      <w:pPr>
        <w:rPr>
          <w:szCs w:val="22"/>
          <w:lang w:val="en-US"/>
        </w:rPr>
      </w:pPr>
      <w:r w:rsidRPr="00B07B0D">
        <w:rPr>
          <w:szCs w:val="22"/>
          <w:lang w:val="en-US"/>
        </w:rPr>
        <w:t>As global sustainability initiatives gain momentum, environmental, social, and governance (ESG) performance has become a key indicator in assessing corporate competitiveness.</w:t>
      </w:r>
      <w:r w:rsidR="00F3669D" w:rsidRPr="00B07B0D">
        <w:rPr>
          <w:szCs w:val="22"/>
          <w:lang w:val="en-US"/>
        </w:rPr>
        <w:t xml:space="preserve"> </w:t>
      </w:r>
      <w:r w:rsidRPr="00B07B0D">
        <w:rPr>
          <w:szCs w:val="22"/>
          <w:lang w:val="en-US"/>
        </w:rPr>
        <w:t xml:space="preserve">Thus, corporate governance, within the context of legitimacy theory, serves as a mediator between net profit, equity, and the disclosure of social and board-related information. Consequently, robust corporate governance enhances transparency in social and environmental reporting, supporting firms in their efforts to align with sustainable business practices and stakeholder expectations. (Gezgin </w:t>
      </w:r>
      <w:r w:rsidRPr="00B07B0D">
        <w:rPr>
          <w:i/>
          <w:iCs/>
          <w:szCs w:val="22"/>
          <w:lang w:val="en-US"/>
        </w:rPr>
        <w:t>et al</w:t>
      </w:r>
      <w:r w:rsidRPr="00B07B0D">
        <w:rPr>
          <w:szCs w:val="22"/>
          <w:lang w:val="en-US"/>
        </w:rPr>
        <w:t>., 2024)</w:t>
      </w:r>
    </w:p>
    <w:p w14:paraId="6CFF8C01" w14:textId="77777777" w:rsidR="008C2254" w:rsidRPr="00B07B0D" w:rsidRDefault="008C2254" w:rsidP="008C2254">
      <w:pPr>
        <w:rPr>
          <w:szCs w:val="22"/>
          <w:lang w:val="en-US"/>
        </w:rPr>
      </w:pPr>
    </w:p>
    <w:p w14:paraId="22148DBA" w14:textId="22AB0112" w:rsidR="008C2254" w:rsidRPr="00B07B0D" w:rsidRDefault="008C2254" w:rsidP="008C2254">
      <w:pPr>
        <w:rPr>
          <w:szCs w:val="22"/>
          <w:lang w:val="en-US"/>
        </w:rPr>
      </w:pPr>
      <w:r w:rsidRPr="00B07B0D">
        <w:rPr>
          <w:szCs w:val="22"/>
          <w:lang w:val="en-US"/>
        </w:rPr>
        <w:t xml:space="preserve">Recent changes in European legislation have promoted non-financial reporting practices (e.g., Directive 2014/95/EU) and gender diversity in decision-making roles. Special attention is given to promoting gender balance on boards of directors as a key mechanism for improving the effectiveness of corporate governance and better addressing the diverse needs of stakeholders. In this context, </w:t>
      </w:r>
      <w:proofErr w:type="spellStart"/>
      <w:r w:rsidRPr="00B07B0D">
        <w:rPr>
          <w:szCs w:val="22"/>
          <w:lang w:val="en-US"/>
        </w:rPr>
        <w:t>Nicolò</w:t>
      </w:r>
      <w:proofErr w:type="spellEnd"/>
      <w:r w:rsidRPr="00B07B0D">
        <w:rPr>
          <w:szCs w:val="22"/>
          <w:lang w:val="en-US"/>
        </w:rPr>
        <w:t xml:space="preserve"> </w:t>
      </w:r>
      <w:r w:rsidRPr="003A5409">
        <w:rPr>
          <w:i/>
          <w:iCs/>
          <w:szCs w:val="22"/>
          <w:lang w:val="en-US"/>
        </w:rPr>
        <w:t>et al.</w:t>
      </w:r>
      <w:r w:rsidRPr="00B07B0D">
        <w:rPr>
          <w:szCs w:val="22"/>
          <w:lang w:val="en-US"/>
        </w:rPr>
        <w:t xml:space="preserve"> (2022) demonstrate that the presence of women on the boards of European companies has a significant positive impact on the transparency of ESG reporting. A heterogeneous leadership structure, coupled with an optimal board size and the presence of independent directors, not only ensures compliance with European directives but also becomes a business strategy.</w:t>
      </w:r>
    </w:p>
    <w:p w14:paraId="7900266E" w14:textId="77777777" w:rsidR="008C2254" w:rsidRPr="00B07B0D" w:rsidRDefault="008C2254" w:rsidP="008C2254">
      <w:pPr>
        <w:rPr>
          <w:szCs w:val="22"/>
          <w:lang w:val="en-US"/>
        </w:rPr>
      </w:pPr>
    </w:p>
    <w:p w14:paraId="57ABC91E" w14:textId="33AB0F86" w:rsidR="008C2254" w:rsidRPr="00B07B0D" w:rsidRDefault="008C2254" w:rsidP="008C2254">
      <w:pPr>
        <w:rPr>
          <w:szCs w:val="22"/>
          <w:lang w:val="en-US"/>
        </w:rPr>
      </w:pPr>
      <w:r w:rsidRPr="00B07B0D">
        <w:rPr>
          <w:szCs w:val="22"/>
          <w:lang w:val="en-US"/>
        </w:rPr>
        <w:t>Board diversity is a key aspect of governance because it improves corporate financial performance and has a positive impact on environmental protection, social responsibility, and corporate governance (Zhu &amp; Chen, 2025)</w:t>
      </w:r>
      <w:r w:rsidR="006F5D0F">
        <w:rPr>
          <w:szCs w:val="22"/>
          <w:lang w:val="en-US"/>
        </w:rPr>
        <w:t>.</w:t>
      </w:r>
    </w:p>
    <w:p w14:paraId="744F6EF8" w14:textId="77777777" w:rsidR="008C2254" w:rsidRPr="00B07B0D" w:rsidRDefault="008C2254" w:rsidP="008C2254">
      <w:pPr>
        <w:rPr>
          <w:szCs w:val="22"/>
          <w:lang w:val="en-US"/>
        </w:rPr>
      </w:pPr>
    </w:p>
    <w:p w14:paraId="3CF0DF7F" w14:textId="77777777" w:rsidR="00506516" w:rsidRPr="00B07B0D" w:rsidRDefault="008C2254" w:rsidP="008C2254">
      <w:pPr>
        <w:rPr>
          <w:szCs w:val="22"/>
          <w:lang w:val="en-US"/>
        </w:rPr>
      </w:pPr>
      <w:r w:rsidRPr="00B07B0D">
        <w:rPr>
          <w:szCs w:val="22"/>
          <w:lang w:val="en-US"/>
        </w:rPr>
        <w:t xml:space="preserve">At the same time, the systematic review of the literature on gender diversity and its impact on financial performance conducted by Gaio </w:t>
      </w:r>
      <w:r w:rsidRPr="00B07B0D">
        <w:rPr>
          <w:i/>
          <w:iCs/>
          <w:szCs w:val="22"/>
          <w:lang w:val="en-US"/>
        </w:rPr>
        <w:t>et al.</w:t>
      </w:r>
      <w:r w:rsidRPr="00B07B0D">
        <w:rPr>
          <w:szCs w:val="22"/>
          <w:lang w:val="en-US"/>
        </w:rPr>
        <w:t xml:space="preserve"> (2024) indicates a positive relationship between female representation in leadership structures and corporate performance. This influence is reflected in increased returns, effective risk management, optimization of the cost of capital, and a reduction in the incidence of fraud. </w:t>
      </w:r>
    </w:p>
    <w:p w14:paraId="26610F97" w14:textId="445929D4" w:rsidR="008C2254" w:rsidRPr="00B07B0D" w:rsidRDefault="008C2254" w:rsidP="008C2254">
      <w:pPr>
        <w:rPr>
          <w:szCs w:val="22"/>
          <w:lang w:val="en-US"/>
        </w:rPr>
      </w:pPr>
    </w:p>
    <w:p w14:paraId="4CECB88A" w14:textId="667C7064" w:rsidR="008C2254" w:rsidRPr="00B07B0D" w:rsidRDefault="008C2254" w:rsidP="008C2254">
      <w:pPr>
        <w:rPr>
          <w:szCs w:val="22"/>
          <w:lang w:val="en-US"/>
        </w:rPr>
      </w:pPr>
      <w:proofErr w:type="spellStart"/>
      <w:r w:rsidRPr="00B07B0D">
        <w:rPr>
          <w:szCs w:val="22"/>
          <w:lang w:val="en-US"/>
        </w:rPr>
        <w:t>Melón-Izco</w:t>
      </w:r>
      <w:proofErr w:type="spellEnd"/>
      <w:r w:rsidRPr="00B07B0D">
        <w:rPr>
          <w:szCs w:val="22"/>
          <w:lang w:val="en-US"/>
        </w:rPr>
        <w:t xml:space="preserve"> </w:t>
      </w:r>
      <w:r w:rsidRPr="00B07B0D">
        <w:rPr>
          <w:i/>
          <w:iCs/>
          <w:szCs w:val="22"/>
          <w:lang w:val="en-US"/>
        </w:rPr>
        <w:t>et al</w:t>
      </w:r>
      <w:r w:rsidRPr="00B07B0D">
        <w:rPr>
          <w:szCs w:val="22"/>
          <w:lang w:val="en-US"/>
        </w:rPr>
        <w:t xml:space="preserve">. (2020), highlight that gender diversity on boards of directors has a positive influence on good governance practices, improving the efficiency of corporate governance mechanisms, in contrast to Tribbitt </w:t>
      </w:r>
      <w:r w:rsidR="006F5D0F">
        <w:rPr>
          <w:szCs w:val="22"/>
          <w:lang w:val="en-US"/>
        </w:rPr>
        <w:t>and</w:t>
      </w:r>
      <w:r w:rsidRPr="00B07B0D">
        <w:rPr>
          <w:szCs w:val="22"/>
          <w:lang w:val="en-US"/>
        </w:rPr>
        <w:t xml:space="preserve"> Walton (2024), who indicate a non-linear relationship between the influence of women in the management team and the risk of bankruptcy. At the same time, it highlights that management structures characterized by gender diversity tend to assume a higher level of risk compared to homogeneous management structures.</w:t>
      </w:r>
    </w:p>
    <w:p w14:paraId="595F69FD" w14:textId="447CF762" w:rsidR="008C2254" w:rsidRPr="00B07B0D" w:rsidRDefault="008C2254" w:rsidP="008C2254">
      <w:pPr>
        <w:rPr>
          <w:szCs w:val="22"/>
          <w:lang w:val="en-US"/>
        </w:rPr>
      </w:pPr>
      <w:r w:rsidRPr="00B07B0D">
        <w:rPr>
          <w:szCs w:val="22"/>
          <w:lang w:val="en-US"/>
        </w:rPr>
        <w:t xml:space="preserve">The literature has provided substantial evidence of the positive impact of gender diversity on corporate boards on firm performance, noting that this effect is influenced by the national and institutional context. In this regard, Lee </w:t>
      </w:r>
      <w:r w:rsidR="003A5409">
        <w:rPr>
          <w:szCs w:val="22"/>
          <w:lang w:val="en-US"/>
        </w:rPr>
        <w:t>and</w:t>
      </w:r>
      <w:r w:rsidRPr="00B07B0D">
        <w:rPr>
          <w:szCs w:val="22"/>
          <w:lang w:val="en-US"/>
        </w:rPr>
        <w:t xml:space="preserve"> Thong (2023) highlight a positive association between the proportion of women on boards of directors and firm performance, along with a lower risk of financial distress. The authors note that this relationship is more pronounced in countries characterized by strict regulations regarding corporate governance transparency and a high degree of women’s economic empowerment.</w:t>
      </w:r>
    </w:p>
    <w:p w14:paraId="6564FD53" w14:textId="77777777" w:rsidR="00F3669D" w:rsidRPr="00B07B0D" w:rsidRDefault="00F3669D" w:rsidP="008C2254">
      <w:pPr>
        <w:rPr>
          <w:szCs w:val="22"/>
          <w:lang w:val="en-US"/>
        </w:rPr>
      </w:pPr>
    </w:p>
    <w:p w14:paraId="5B54D6E1" w14:textId="2FA044B9" w:rsidR="00C5138E" w:rsidRPr="00B07B0D" w:rsidRDefault="008C2254" w:rsidP="008C2254">
      <w:pPr>
        <w:rPr>
          <w:szCs w:val="22"/>
          <w:lang w:val="en-US"/>
        </w:rPr>
      </w:pPr>
      <w:r w:rsidRPr="00B07B0D">
        <w:rPr>
          <w:szCs w:val="22"/>
          <w:lang w:val="en-US"/>
        </w:rPr>
        <w:t xml:space="preserve">Furthermore, </w:t>
      </w:r>
      <w:proofErr w:type="spellStart"/>
      <w:r w:rsidRPr="00B07B0D">
        <w:rPr>
          <w:szCs w:val="22"/>
          <w:lang w:val="en-US"/>
        </w:rPr>
        <w:t>Vafaei</w:t>
      </w:r>
      <w:proofErr w:type="spellEnd"/>
      <w:r w:rsidRPr="00B07B0D">
        <w:rPr>
          <w:szCs w:val="22"/>
          <w:lang w:val="en-US"/>
        </w:rPr>
        <w:t xml:space="preserve"> </w:t>
      </w:r>
      <w:r w:rsidRPr="00B07B0D">
        <w:rPr>
          <w:i/>
          <w:iCs/>
          <w:szCs w:val="22"/>
          <w:lang w:val="en-US"/>
        </w:rPr>
        <w:t>et al.</w:t>
      </w:r>
      <w:r w:rsidRPr="00B07B0D">
        <w:rPr>
          <w:szCs w:val="22"/>
          <w:lang w:val="en-US"/>
        </w:rPr>
        <w:t xml:space="preserve"> (2015), through an analysis of Australian companies, indicate a significant positive relationship between gender diversity and financial performance; in contrast, Green </w:t>
      </w:r>
      <w:r w:rsidR="003A5409">
        <w:rPr>
          <w:szCs w:val="22"/>
          <w:lang w:val="en-US"/>
        </w:rPr>
        <w:t>and</w:t>
      </w:r>
      <w:r w:rsidRPr="00B07B0D">
        <w:rPr>
          <w:szCs w:val="22"/>
          <w:lang w:val="en-US"/>
        </w:rPr>
        <w:t xml:space="preserve"> </w:t>
      </w:r>
      <w:proofErr w:type="spellStart"/>
      <w:r w:rsidRPr="00B07B0D">
        <w:rPr>
          <w:szCs w:val="22"/>
          <w:lang w:val="en-US"/>
        </w:rPr>
        <w:t>Homroy</w:t>
      </w:r>
      <w:proofErr w:type="spellEnd"/>
      <w:r w:rsidRPr="00B07B0D">
        <w:rPr>
          <w:szCs w:val="22"/>
          <w:lang w:val="en-US"/>
        </w:rPr>
        <w:t xml:space="preserve"> (2018) confirm a positive effect of gender diversity in European companies. European companies benefit from a more balanced distribution of board members, which allows for a more precise assessment of the impact.</w:t>
      </w:r>
    </w:p>
    <w:p w14:paraId="6A8060A5" w14:textId="77777777" w:rsidR="00C5138E" w:rsidRPr="00B07B0D" w:rsidRDefault="00C5138E" w:rsidP="008C2254">
      <w:pPr>
        <w:rPr>
          <w:szCs w:val="22"/>
          <w:lang w:val="en-US"/>
        </w:rPr>
      </w:pPr>
    </w:p>
    <w:p w14:paraId="2BEFC93F" w14:textId="5A088BFB" w:rsidR="008C2254" w:rsidRPr="00B07B0D" w:rsidRDefault="008C2254" w:rsidP="008C2254">
      <w:pPr>
        <w:rPr>
          <w:szCs w:val="22"/>
          <w:lang w:val="en-US"/>
        </w:rPr>
      </w:pPr>
      <w:r w:rsidRPr="00B07B0D">
        <w:rPr>
          <w:szCs w:val="22"/>
          <w:lang w:val="en-US"/>
        </w:rPr>
        <w:t xml:space="preserve">In contrast, </w:t>
      </w:r>
      <w:proofErr w:type="spellStart"/>
      <w:r w:rsidRPr="00B07B0D">
        <w:rPr>
          <w:szCs w:val="22"/>
          <w:lang w:val="en-US"/>
        </w:rPr>
        <w:t>Pasaribu</w:t>
      </w:r>
      <w:proofErr w:type="spellEnd"/>
      <w:r w:rsidRPr="00B07B0D">
        <w:rPr>
          <w:szCs w:val="22"/>
          <w:lang w:val="en-US"/>
        </w:rPr>
        <w:t xml:space="preserve"> (2017) offers a more nuanced perspective, showing that the positive effect of gender diversity is more pronounced in small firms with less developed governance and insignificant for large, well-governed companies in the United Kingdom.</w:t>
      </w:r>
    </w:p>
    <w:p w14:paraId="08225E36" w14:textId="77777777" w:rsidR="008C2254" w:rsidRPr="00B07B0D" w:rsidRDefault="008C2254" w:rsidP="008C2254">
      <w:pPr>
        <w:rPr>
          <w:szCs w:val="22"/>
          <w:lang w:val="en-US"/>
        </w:rPr>
      </w:pPr>
    </w:p>
    <w:p w14:paraId="78F2312D" w14:textId="77777777" w:rsidR="00C5138E" w:rsidRPr="00B07B0D" w:rsidRDefault="008C2254" w:rsidP="008C2254">
      <w:pPr>
        <w:rPr>
          <w:szCs w:val="22"/>
          <w:lang w:val="en-US"/>
        </w:rPr>
      </w:pPr>
      <w:r w:rsidRPr="00B07B0D">
        <w:rPr>
          <w:szCs w:val="22"/>
          <w:lang w:val="en-US"/>
        </w:rPr>
        <w:t xml:space="preserve">On the other hand, in Romania, women’s representation on boards of directors is low, particularly in large corporations where gender diversity on boards is rare. </w:t>
      </w:r>
      <w:proofErr w:type="spellStart"/>
      <w:r w:rsidRPr="00B07B0D">
        <w:rPr>
          <w:szCs w:val="22"/>
          <w:lang w:val="en-US"/>
        </w:rPr>
        <w:t>Ionașcu</w:t>
      </w:r>
      <w:proofErr w:type="spellEnd"/>
      <w:r w:rsidRPr="00B07B0D">
        <w:rPr>
          <w:szCs w:val="22"/>
          <w:lang w:val="en-US"/>
        </w:rPr>
        <w:t xml:space="preserve"> </w:t>
      </w:r>
      <w:r w:rsidRPr="00B07B0D">
        <w:rPr>
          <w:i/>
          <w:iCs/>
          <w:szCs w:val="22"/>
          <w:lang w:val="en-US"/>
        </w:rPr>
        <w:t>et al.</w:t>
      </w:r>
      <w:r w:rsidRPr="00B07B0D">
        <w:rPr>
          <w:szCs w:val="22"/>
          <w:lang w:val="en-US"/>
        </w:rPr>
        <w:t xml:space="preserve"> (2018) indicate that gender diversity can have a positive effect on financial performance (Tobin’s Q), particularly in smaller companies or those with weaker governance, where women can supplement existing governance mechanisms, unlike in large entities where, with rigorous corporate governance, diversity tends to be statistically neutral.</w:t>
      </w:r>
    </w:p>
    <w:p w14:paraId="324D782E" w14:textId="77777777" w:rsidR="00C5138E" w:rsidRPr="00B07B0D" w:rsidRDefault="00C5138E" w:rsidP="008C2254">
      <w:pPr>
        <w:rPr>
          <w:szCs w:val="22"/>
          <w:lang w:val="en-US"/>
        </w:rPr>
      </w:pPr>
    </w:p>
    <w:p w14:paraId="16EFBA1B" w14:textId="181DF7A6" w:rsidR="008C2254" w:rsidRPr="00B07B0D" w:rsidRDefault="008C2254" w:rsidP="008C2254">
      <w:pPr>
        <w:rPr>
          <w:szCs w:val="22"/>
          <w:lang w:val="en-US"/>
        </w:rPr>
      </w:pPr>
      <w:r w:rsidRPr="00B07B0D">
        <w:rPr>
          <w:szCs w:val="22"/>
          <w:lang w:val="en-US"/>
        </w:rPr>
        <w:t>In the European context, independent female directors play a decisive role in strengthening monitoring mechanisms by encouraging the voluntary formation of board subcommittees, and a high presence of women in executive roles can lead to these mechanisms being substituted to avoid duplication of functions. Thus, female leadership on boards of directors influences the demand for internal control mechanisms, such as board subcommittees, and their integration as a strategic element in corporate governance (Pucheta‐Martínez &amp; Bel‐Oms, 2019)</w:t>
      </w:r>
      <w:r w:rsidR="006F5D0F">
        <w:rPr>
          <w:szCs w:val="22"/>
          <w:lang w:val="en-US"/>
        </w:rPr>
        <w:t>.</w:t>
      </w:r>
    </w:p>
    <w:p w14:paraId="05C36BAA" w14:textId="77777777" w:rsidR="008C2254" w:rsidRPr="00B07B0D" w:rsidRDefault="008C2254" w:rsidP="008C2254">
      <w:pPr>
        <w:rPr>
          <w:szCs w:val="22"/>
          <w:lang w:val="en-US"/>
        </w:rPr>
      </w:pPr>
    </w:p>
    <w:p w14:paraId="7E982165" w14:textId="26CC86A3" w:rsidR="008C2254" w:rsidRDefault="008C2254" w:rsidP="008C2254">
      <w:pPr>
        <w:rPr>
          <w:szCs w:val="22"/>
          <w:lang w:val="en-US"/>
        </w:rPr>
      </w:pPr>
      <w:r w:rsidRPr="00B07B0D">
        <w:rPr>
          <w:szCs w:val="22"/>
          <w:lang w:val="en-US"/>
        </w:rPr>
        <w:t>The literature indicates that gender diversity on boards of directors is predominantly associated with improved financial performance and the quality of governance mechanisms. Based on this evidence, the following research hypothesis is formulated:</w:t>
      </w:r>
    </w:p>
    <w:p w14:paraId="6E5F3A80" w14:textId="77777777" w:rsidR="005C23ED" w:rsidRPr="005C23ED" w:rsidRDefault="005C23ED" w:rsidP="008C2254">
      <w:pPr>
        <w:rPr>
          <w:sz w:val="20"/>
          <w:szCs w:val="20"/>
          <w:lang w:val="en-US"/>
        </w:rPr>
      </w:pPr>
    </w:p>
    <w:p w14:paraId="7819D0BA" w14:textId="5AE138CD" w:rsidR="008C2254" w:rsidRPr="00B07B0D" w:rsidRDefault="008C2254" w:rsidP="008C2254">
      <w:pPr>
        <w:rPr>
          <w:i/>
          <w:iCs/>
          <w:szCs w:val="22"/>
          <w:lang w:val="en-US"/>
        </w:rPr>
      </w:pPr>
      <w:r w:rsidRPr="00B07B0D">
        <w:rPr>
          <w:b/>
          <w:bCs/>
          <w:i/>
          <w:iCs/>
          <w:szCs w:val="22"/>
          <w:lang w:val="en-US"/>
        </w:rPr>
        <w:t>H</w:t>
      </w:r>
      <w:r w:rsidRPr="00B07B0D">
        <w:rPr>
          <w:b/>
          <w:bCs/>
          <w:i/>
          <w:iCs/>
          <w:szCs w:val="22"/>
          <w:vertAlign w:val="subscript"/>
          <w:lang w:val="en-US"/>
        </w:rPr>
        <w:t>3</w:t>
      </w:r>
      <w:r w:rsidR="00844B0F" w:rsidRPr="00B07B0D">
        <w:rPr>
          <w:szCs w:val="22"/>
          <w:lang w:val="en-US"/>
        </w:rPr>
        <w:t>:</w:t>
      </w:r>
      <w:r w:rsidRPr="00B07B0D">
        <w:rPr>
          <w:i/>
          <w:iCs/>
          <w:szCs w:val="22"/>
          <w:lang w:val="en-US"/>
        </w:rPr>
        <w:t xml:space="preserve"> Gender diversity on the board of directors has a significant impact on financial performance.</w:t>
      </w:r>
    </w:p>
    <w:p w14:paraId="2D065A73" w14:textId="0765E316" w:rsidR="0022750C" w:rsidRPr="003A5409" w:rsidRDefault="00383265">
      <w:pPr>
        <w:pStyle w:val="ListParagraph"/>
        <w:numPr>
          <w:ilvl w:val="0"/>
          <w:numId w:val="7"/>
        </w:numPr>
        <w:ind w:left="357" w:hanging="357"/>
        <w:rPr>
          <w:b/>
          <w:bCs/>
          <w:sz w:val="28"/>
          <w:szCs w:val="32"/>
          <w:lang w:val="en-US"/>
        </w:rPr>
      </w:pPr>
      <w:bookmarkStart w:id="6" w:name="_Ref532410384"/>
      <w:r w:rsidRPr="003A5409">
        <w:rPr>
          <w:b/>
          <w:bCs/>
          <w:sz w:val="28"/>
          <w:szCs w:val="32"/>
          <w:lang w:val="en-US"/>
        </w:rPr>
        <w:t>Methodology and methods</w:t>
      </w:r>
      <w:bookmarkEnd w:id="6"/>
    </w:p>
    <w:p w14:paraId="25CC5A6A" w14:textId="77777777" w:rsidR="00C5138E" w:rsidRPr="00530AB3" w:rsidRDefault="00C5138E" w:rsidP="00530AB3">
      <w:pPr>
        <w:pStyle w:val="ListParagraph"/>
        <w:ind w:left="0"/>
        <w:rPr>
          <w:bCs/>
          <w:sz w:val="24"/>
          <w:szCs w:val="32"/>
          <w:lang w:val="en-US"/>
        </w:rPr>
      </w:pPr>
    </w:p>
    <w:p w14:paraId="1F6CA6F1" w14:textId="77777777" w:rsidR="00F3669D" w:rsidRPr="00B07B0D" w:rsidRDefault="005F1CB2" w:rsidP="005F1CB2">
      <w:pPr>
        <w:rPr>
          <w:lang w:val="en-US"/>
        </w:rPr>
      </w:pPr>
      <w:r w:rsidRPr="00B07B0D">
        <w:rPr>
          <w:lang w:val="en-US"/>
        </w:rPr>
        <w:t xml:space="preserve">The analysis of the correlation between corporate governance mechanisms and financial performance was carried out using a quantitative research methodology focused on a linear regression model </w:t>
      </w:r>
      <w:r w:rsidR="00CA3600" w:rsidRPr="00B07B0D">
        <w:rPr>
          <w:lang w:val="en-US"/>
        </w:rPr>
        <w:t>performed</w:t>
      </w:r>
      <w:r w:rsidRPr="00B07B0D">
        <w:rPr>
          <w:lang w:val="en-US"/>
        </w:rPr>
        <w:t xml:space="preserve"> in the SPSS program.</w:t>
      </w:r>
    </w:p>
    <w:p w14:paraId="36948CC6" w14:textId="18C3825B" w:rsidR="005F1CB2" w:rsidRPr="00B07B0D" w:rsidRDefault="005F1CB2" w:rsidP="005F1CB2">
      <w:pPr>
        <w:rPr>
          <w:lang w:val="en-US"/>
        </w:rPr>
      </w:pPr>
      <w:r w:rsidRPr="00B07B0D">
        <w:rPr>
          <w:lang w:val="en-US"/>
        </w:rPr>
        <w:t xml:space="preserve"> </w:t>
      </w:r>
    </w:p>
    <w:p w14:paraId="2658939F" w14:textId="31E1C7C0" w:rsidR="00FB0DD6" w:rsidRPr="00B07B0D" w:rsidRDefault="00C76784" w:rsidP="004B1B23">
      <w:pPr>
        <w:rPr>
          <w:lang w:val="en-US"/>
        </w:rPr>
      </w:pPr>
      <w:r w:rsidRPr="00B07B0D">
        <w:rPr>
          <w:lang w:val="en-US"/>
        </w:rPr>
        <w:t>Based on the methodological framework established in previous research conducted by Al</w:t>
      </w:r>
      <w:r w:rsidR="006F5D0F">
        <w:rPr>
          <w:lang w:val="en-US"/>
        </w:rPr>
        <w:t>l</w:t>
      </w:r>
      <w:r w:rsidRPr="00B07B0D">
        <w:rPr>
          <w:lang w:val="en-US"/>
        </w:rPr>
        <w:t xml:space="preserve">ey </w:t>
      </w:r>
      <w:r w:rsidRPr="00B07B0D">
        <w:rPr>
          <w:i/>
          <w:iCs/>
          <w:lang w:val="en-US"/>
        </w:rPr>
        <w:t>et al.</w:t>
      </w:r>
      <w:r w:rsidRPr="00B07B0D">
        <w:rPr>
          <w:lang w:val="en-US"/>
        </w:rPr>
        <w:t xml:space="preserve"> (2016) and </w:t>
      </w:r>
      <w:proofErr w:type="spellStart"/>
      <w:r w:rsidRPr="00B07B0D">
        <w:rPr>
          <w:lang w:val="en-US"/>
        </w:rPr>
        <w:t>Melón-Izco</w:t>
      </w:r>
      <w:proofErr w:type="spellEnd"/>
      <w:r w:rsidRPr="00B07B0D">
        <w:rPr>
          <w:lang w:val="en-US"/>
        </w:rPr>
        <w:t xml:space="preserve"> </w:t>
      </w:r>
      <w:r w:rsidRPr="00B07B0D">
        <w:rPr>
          <w:i/>
          <w:iCs/>
          <w:lang w:val="en-US"/>
        </w:rPr>
        <w:t>et al.</w:t>
      </w:r>
      <w:r w:rsidRPr="00B07B0D">
        <w:rPr>
          <w:lang w:val="en-US"/>
        </w:rPr>
        <w:t xml:space="preserve"> (2020), we propose an expansion of the econometric model by adapting it to the current context of the European market. A key change is the use of the financial indicator EBITDA as a dependent variable. At the same time, the methodological framework has been extended by integrating the dimension of gender diversity, according to the model proposed by </w:t>
      </w:r>
      <w:proofErr w:type="spellStart"/>
      <w:r w:rsidRPr="00B07B0D">
        <w:rPr>
          <w:lang w:val="en-US"/>
        </w:rPr>
        <w:t>Ionașcu</w:t>
      </w:r>
      <w:proofErr w:type="spellEnd"/>
      <w:r w:rsidRPr="00B07B0D">
        <w:rPr>
          <w:lang w:val="en-US"/>
        </w:rPr>
        <w:t xml:space="preserve"> </w:t>
      </w:r>
      <w:r w:rsidRPr="00B07B0D">
        <w:rPr>
          <w:i/>
          <w:iCs/>
          <w:lang w:val="en-US"/>
        </w:rPr>
        <w:t>et al.</w:t>
      </w:r>
      <w:r w:rsidRPr="00B07B0D">
        <w:rPr>
          <w:lang w:val="en-US"/>
        </w:rPr>
        <w:t xml:space="preserve"> (2018), and by including the internal audit reporting score, based on the findings of Tu</w:t>
      </w:r>
      <w:r w:rsidR="006F5D0F" w:rsidRPr="006F5D0F">
        <w:rPr>
          <w:lang w:val="en-US"/>
        </w:rPr>
        <w:t>š</w:t>
      </w:r>
      <w:r w:rsidRPr="00B07B0D">
        <w:rPr>
          <w:lang w:val="en-US"/>
        </w:rPr>
        <w:t>ek (2015) (Table 1)</w:t>
      </w:r>
      <w:r w:rsidR="003A5409">
        <w:rPr>
          <w:lang w:val="en-US"/>
        </w:rPr>
        <w:t>,</w:t>
      </w:r>
    </w:p>
    <w:p w14:paraId="4EFEE783" w14:textId="77777777" w:rsidR="00C76784" w:rsidRPr="00B07B0D" w:rsidRDefault="00C76784" w:rsidP="004B1B23">
      <w:pPr>
        <w:rPr>
          <w:rFonts w:cstheme="minorBidi"/>
          <w:szCs w:val="22"/>
          <w:lang w:val="en-US"/>
        </w:rPr>
      </w:pPr>
    </w:p>
    <w:p w14:paraId="2F240A69" w14:textId="4042ED1C" w:rsidR="007D716E" w:rsidRPr="00B07B0D" w:rsidRDefault="007D716E" w:rsidP="00801834">
      <w:pPr>
        <w:pStyle w:val="Caption"/>
        <w:rPr>
          <w:rFonts w:cstheme="minorBidi"/>
          <w:szCs w:val="20"/>
          <w:lang w:val="en-US"/>
        </w:rPr>
      </w:pPr>
      <w:bookmarkStart w:id="7" w:name="_Ref533955356"/>
      <w:r w:rsidRPr="00B07B0D">
        <w:rPr>
          <w:lang w:val="en-US"/>
        </w:rPr>
        <w:t xml:space="preserve">Table </w:t>
      </w:r>
      <w:bookmarkEnd w:id="7"/>
      <w:r w:rsidR="00C76784" w:rsidRPr="00B07B0D">
        <w:rPr>
          <w:lang w:val="en-US"/>
        </w:rPr>
        <w:t>1</w:t>
      </w:r>
      <w:r w:rsidR="00384D0C" w:rsidRPr="00B07B0D">
        <w:rPr>
          <w:lang w:val="en-US"/>
        </w:rPr>
        <w:t>.</w:t>
      </w:r>
      <w:r w:rsidRPr="00B07B0D">
        <w:rPr>
          <w:lang w:val="en-US"/>
        </w:rPr>
        <w:t xml:space="preserve"> </w:t>
      </w:r>
      <w:r w:rsidR="009026BC" w:rsidRPr="00B07B0D">
        <w:rPr>
          <w:lang w:val="en-US"/>
        </w:rPr>
        <w:t>Definition of variables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1583"/>
        <w:gridCol w:w="2728"/>
        <w:gridCol w:w="1854"/>
      </w:tblGrid>
      <w:tr w:rsidR="00107B20" w:rsidRPr="002C03A8" w14:paraId="645D5708" w14:textId="6DB0CE6B" w:rsidTr="005C23ED">
        <w:trPr>
          <w:tblHeader/>
          <w:jc w:val="center"/>
        </w:trPr>
        <w:tc>
          <w:tcPr>
            <w:tcW w:w="794" w:type="pct"/>
            <w:tcBorders>
              <w:top w:val="single" w:sz="4" w:space="0" w:color="auto"/>
              <w:bottom w:val="single" w:sz="4" w:space="0" w:color="auto"/>
            </w:tcBorders>
          </w:tcPr>
          <w:p w14:paraId="4039BE6C" w14:textId="721B1ACB" w:rsidR="005F1CB2" w:rsidRPr="002C03A8" w:rsidRDefault="00B619F0" w:rsidP="00F3669D">
            <w:pPr>
              <w:jc w:val="center"/>
              <w:rPr>
                <w:rFonts w:ascii="Times New Roman" w:hAnsi="Times New Roman" w:cs="Times New Roman"/>
                <w:b/>
                <w:bCs/>
                <w:sz w:val="20"/>
                <w:szCs w:val="20"/>
                <w:lang w:val="en-US"/>
              </w:rPr>
            </w:pPr>
            <w:r w:rsidRPr="002C03A8">
              <w:rPr>
                <w:rFonts w:ascii="Times New Roman" w:hAnsi="Times New Roman" w:cs="Times New Roman"/>
                <w:b/>
                <w:bCs/>
                <w:sz w:val="20"/>
                <w:szCs w:val="20"/>
                <w:lang w:val="en-US"/>
              </w:rPr>
              <w:t xml:space="preserve">Variable </w:t>
            </w:r>
            <w:r w:rsidR="005C23ED">
              <w:rPr>
                <w:rFonts w:ascii="Times New Roman" w:hAnsi="Times New Roman" w:cs="Times New Roman"/>
                <w:b/>
                <w:bCs/>
                <w:sz w:val="20"/>
                <w:szCs w:val="20"/>
                <w:lang w:val="en-US"/>
              </w:rPr>
              <w:t>t</w:t>
            </w:r>
            <w:r w:rsidRPr="002C03A8">
              <w:rPr>
                <w:rFonts w:ascii="Times New Roman" w:hAnsi="Times New Roman" w:cs="Times New Roman"/>
                <w:b/>
                <w:bCs/>
                <w:sz w:val="20"/>
                <w:szCs w:val="20"/>
                <w:lang w:val="en-US"/>
              </w:rPr>
              <w:t>ype</w:t>
            </w:r>
          </w:p>
        </w:tc>
        <w:tc>
          <w:tcPr>
            <w:tcW w:w="1043" w:type="pct"/>
            <w:tcBorders>
              <w:top w:val="single" w:sz="4" w:space="0" w:color="auto"/>
              <w:bottom w:val="single" w:sz="4" w:space="0" w:color="auto"/>
            </w:tcBorders>
            <w:vAlign w:val="center"/>
          </w:tcPr>
          <w:p w14:paraId="14B03B35" w14:textId="6844A833" w:rsidR="005F1CB2" w:rsidRPr="002C03A8" w:rsidRDefault="00B619F0" w:rsidP="00F3669D">
            <w:pPr>
              <w:jc w:val="center"/>
              <w:rPr>
                <w:rFonts w:ascii="Times New Roman" w:hAnsi="Times New Roman" w:cs="Times New Roman"/>
                <w:b/>
                <w:bCs/>
                <w:sz w:val="20"/>
                <w:szCs w:val="20"/>
                <w:lang w:val="en-US"/>
              </w:rPr>
            </w:pPr>
            <w:r w:rsidRPr="002C03A8">
              <w:rPr>
                <w:rFonts w:ascii="Times New Roman" w:hAnsi="Times New Roman" w:cs="Times New Roman"/>
                <w:b/>
                <w:bCs/>
                <w:sz w:val="20"/>
                <w:szCs w:val="20"/>
                <w:lang w:val="en-US"/>
              </w:rPr>
              <w:t xml:space="preserve">Variable </w:t>
            </w:r>
            <w:r w:rsidR="005C23ED">
              <w:rPr>
                <w:rFonts w:ascii="Times New Roman" w:hAnsi="Times New Roman" w:cs="Times New Roman"/>
                <w:b/>
                <w:bCs/>
                <w:sz w:val="20"/>
                <w:szCs w:val="20"/>
                <w:lang w:val="en-US"/>
              </w:rPr>
              <w:t>n</w:t>
            </w:r>
            <w:r w:rsidRPr="002C03A8">
              <w:rPr>
                <w:rFonts w:ascii="Times New Roman" w:hAnsi="Times New Roman" w:cs="Times New Roman"/>
                <w:b/>
                <w:bCs/>
                <w:sz w:val="20"/>
                <w:szCs w:val="20"/>
                <w:lang w:val="en-US"/>
              </w:rPr>
              <w:t>ame</w:t>
            </w:r>
          </w:p>
        </w:tc>
        <w:tc>
          <w:tcPr>
            <w:tcW w:w="1878" w:type="pct"/>
            <w:tcBorders>
              <w:top w:val="single" w:sz="4" w:space="0" w:color="auto"/>
              <w:bottom w:val="single" w:sz="4" w:space="0" w:color="auto"/>
            </w:tcBorders>
            <w:vAlign w:val="center"/>
          </w:tcPr>
          <w:p w14:paraId="47DC2AA8" w14:textId="646C9C15" w:rsidR="005F1CB2" w:rsidRPr="002C03A8" w:rsidRDefault="00B619F0" w:rsidP="00F3669D">
            <w:pPr>
              <w:jc w:val="center"/>
              <w:rPr>
                <w:rFonts w:ascii="Times New Roman" w:hAnsi="Times New Roman" w:cs="Times New Roman"/>
                <w:b/>
                <w:bCs/>
                <w:sz w:val="20"/>
                <w:szCs w:val="20"/>
                <w:lang w:val="en-US"/>
              </w:rPr>
            </w:pPr>
            <w:r w:rsidRPr="002C03A8">
              <w:rPr>
                <w:rFonts w:ascii="Times New Roman" w:hAnsi="Times New Roman" w:cs="Times New Roman"/>
                <w:b/>
                <w:bCs/>
                <w:sz w:val="20"/>
                <w:szCs w:val="20"/>
                <w:lang w:val="en-US"/>
              </w:rPr>
              <w:t xml:space="preserve">Variable </w:t>
            </w:r>
            <w:r w:rsidR="005C23ED">
              <w:rPr>
                <w:rFonts w:ascii="Times New Roman" w:hAnsi="Times New Roman" w:cs="Times New Roman"/>
                <w:b/>
                <w:bCs/>
                <w:sz w:val="20"/>
                <w:szCs w:val="20"/>
                <w:lang w:val="en-US"/>
              </w:rPr>
              <w:t>d</w:t>
            </w:r>
            <w:r w:rsidRPr="002C03A8">
              <w:rPr>
                <w:rFonts w:ascii="Times New Roman" w:hAnsi="Times New Roman" w:cs="Times New Roman"/>
                <w:b/>
                <w:bCs/>
                <w:sz w:val="20"/>
                <w:szCs w:val="20"/>
                <w:lang w:val="en-US"/>
              </w:rPr>
              <w:t>escription</w:t>
            </w:r>
          </w:p>
        </w:tc>
        <w:tc>
          <w:tcPr>
            <w:tcW w:w="1285" w:type="pct"/>
            <w:tcBorders>
              <w:top w:val="single" w:sz="4" w:space="0" w:color="auto"/>
              <w:bottom w:val="single" w:sz="4" w:space="0" w:color="auto"/>
            </w:tcBorders>
            <w:vAlign w:val="center"/>
          </w:tcPr>
          <w:p w14:paraId="32EBD123" w14:textId="0279E4FF" w:rsidR="005F1CB2" w:rsidRPr="002C03A8" w:rsidRDefault="00B619F0" w:rsidP="00F3669D">
            <w:pPr>
              <w:jc w:val="center"/>
              <w:rPr>
                <w:rFonts w:ascii="Times New Roman" w:hAnsi="Times New Roman" w:cs="Times New Roman"/>
                <w:b/>
                <w:bCs/>
                <w:sz w:val="20"/>
                <w:szCs w:val="20"/>
                <w:lang w:val="en-US"/>
              </w:rPr>
            </w:pPr>
            <w:r w:rsidRPr="002C03A8">
              <w:rPr>
                <w:rFonts w:ascii="Times New Roman" w:hAnsi="Times New Roman" w:cs="Times New Roman"/>
                <w:b/>
                <w:bCs/>
                <w:sz w:val="20"/>
                <w:szCs w:val="20"/>
                <w:lang w:val="en-US"/>
              </w:rPr>
              <w:t>Source</w:t>
            </w:r>
          </w:p>
        </w:tc>
      </w:tr>
      <w:tr w:rsidR="00107B20" w:rsidRPr="002C03A8" w14:paraId="2012166E" w14:textId="1BC305B5" w:rsidTr="005C23ED">
        <w:trPr>
          <w:jc w:val="center"/>
        </w:trPr>
        <w:tc>
          <w:tcPr>
            <w:tcW w:w="794" w:type="pct"/>
            <w:tcBorders>
              <w:top w:val="single" w:sz="4" w:space="0" w:color="auto"/>
            </w:tcBorders>
          </w:tcPr>
          <w:p w14:paraId="12521750" w14:textId="30C056EB" w:rsidR="005F1CB2" w:rsidRPr="002C03A8" w:rsidRDefault="00B619F0"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Dependent variable</w:t>
            </w:r>
          </w:p>
        </w:tc>
        <w:tc>
          <w:tcPr>
            <w:tcW w:w="1043" w:type="pct"/>
            <w:tcBorders>
              <w:top w:val="single" w:sz="4" w:space="0" w:color="auto"/>
            </w:tcBorders>
          </w:tcPr>
          <w:p w14:paraId="6BE0AC3D" w14:textId="11546F20" w:rsidR="005F1CB2" w:rsidRPr="002C03A8" w:rsidRDefault="005F1CB2"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EBITDA</w:t>
            </w:r>
            <w:r w:rsidR="00B34CF9" w:rsidRPr="002C03A8">
              <w:rPr>
                <w:rFonts w:ascii="Times New Roman" w:hAnsi="Times New Roman" w:cs="Times New Roman"/>
                <w:sz w:val="20"/>
                <w:szCs w:val="20"/>
                <w:lang w:val="en-US"/>
              </w:rPr>
              <w:t xml:space="preserve"> (EBITDA) </w:t>
            </w:r>
          </w:p>
        </w:tc>
        <w:tc>
          <w:tcPr>
            <w:tcW w:w="1878" w:type="pct"/>
            <w:tcBorders>
              <w:top w:val="single" w:sz="4" w:space="0" w:color="auto"/>
            </w:tcBorders>
          </w:tcPr>
          <w:p w14:paraId="253C944D" w14:textId="75EBD1F1" w:rsidR="005F1CB2" w:rsidRPr="002C03A8" w:rsidRDefault="005F1CB2"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EBITDA is EBIT for the fiscal year plus the same period's Depreciation, Supplemental [VDEP], Amortization of Acquisition Costs, Supplemental [VAMA] and Amortization of Intangibles, Supplemental [VAMI]</w:t>
            </w:r>
            <w:r w:rsidR="00DC3041" w:rsidRPr="002C03A8">
              <w:rPr>
                <w:rFonts w:ascii="Times New Roman" w:hAnsi="Times New Roman" w:cs="Times New Roman"/>
                <w:sz w:val="20"/>
                <w:szCs w:val="20"/>
                <w:lang w:val="en-US"/>
              </w:rPr>
              <w:t>.</w:t>
            </w:r>
            <w:r w:rsidR="00C07C88" w:rsidRPr="002C03A8">
              <w:rPr>
                <w:rFonts w:ascii="Times New Roman" w:hAnsi="Times New Roman" w:cs="Times New Roman"/>
                <w:sz w:val="20"/>
                <w:szCs w:val="20"/>
                <w:lang w:val="en-US"/>
              </w:rPr>
              <w:t xml:space="preserve"> </w:t>
            </w:r>
          </w:p>
        </w:tc>
        <w:tc>
          <w:tcPr>
            <w:tcW w:w="1285" w:type="pct"/>
            <w:tcBorders>
              <w:top w:val="single" w:sz="4" w:space="0" w:color="auto"/>
            </w:tcBorders>
          </w:tcPr>
          <w:p w14:paraId="23BEAA00" w14:textId="63489433" w:rsidR="005F1CB2" w:rsidRPr="002C03A8" w:rsidRDefault="0040463D"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 xml:space="preserve">Da Silva </w:t>
            </w:r>
            <w:r w:rsidRPr="002C03A8">
              <w:rPr>
                <w:rFonts w:ascii="Times New Roman" w:hAnsi="Times New Roman" w:cs="Times New Roman"/>
                <w:i/>
                <w:iCs/>
                <w:sz w:val="20"/>
                <w:szCs w:val="20"/>
                <w:lang w:val="en-US"/>
              </w:rPr>
              <w:t>et al.</w:t>
            </w:r>
            <w:r w:rsidRPr="002C03A8">
              <w:rPr>
                <w:rFonts w:ascii="Times New Roman" w:hAnsi="Times New Roman" w:cs="Times New Roman"/>
                <w:sz w:val="20"/>
                <w:szCs w:val="20"/>
                <w:lang w:val="en-US"/>
              </w:rPr>
              <w:t xml:space="preserve"> (2024)</w:t>
            </w:r>
          </w:p>
        </w:tc>
      </w:tr>
      <w:tr w:rsidR="00107B20" w:rsidRPr="002C03A8" w14:paraId="4D85849F" w14:textId="77777777" w:rsidTr="005C23ED">
        <w:trPr>
          <w:jc w:val="center"/>
        </w:trPr>
        <w:tc>
          <w:tcPr>
            <w:tcW w:w="794" w:type="pct"/>
          </w:tcPr>
          <w:p w14:paraId="316FC104" w14:textId="4810BF65"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Independent variable</w:t>
            </w:r>
          </w:p>
        </w:tc>
        <w:tc>
          <w:tcPr>
            <w:tcW w:w="1043" w:type="pct"/>
          </w:tcPr>
          <w:p w14:paraId="274C844E" w14:textId="7B870ACE"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 xml:space="preserve">Independent Board Members </w:t>
            </w:r>
            <w:r w:rsidR="00B34CF9" w:rsidRPr="002C03A8">
              <w:rPr>
                <w:rFonts w:ascii="Times New Roman" w:hAnsi="Times New Roman" w:cs="Times New Roman"/>
                <w:sz w:val="20"/>
                <w:szCs w:val="20"/>
                <w:lang w:val="en-US"/>
              </w:rPr>
              <w:t xml:space="preserve">(BD_IND) </w:t>
            </w:r>
          </w:p>
        </w:tc>
        <w:tc>
          <w:tcPr>
            <w:tcW w:w="1878" w:type="pct"/>
          </w:tcPr>
          <w:p w14:paraId="3D7C739C" w14:textId="50F848AD"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Percentage of independent board members as reported by the company.</w:t>
            </w:r>
          </w:p>
        </w:tc>
        <w:tc>
          <w:tcPr>
            <w:tcW w:w="1285" w:type="pct"/>
          </w:tcPr>
          <w:p w14:paraId="76FBCDEE" w14:textId="77777777" w:rsidR="003A5409" w:rsidRPr="002C03A8" w:rsidRDefault="003A5409"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 xml:space="preserve">Da Silva </w:t>
            </w:r>
            <w:r w:rsidRPr="002C03A8">
              <w:rPr>
                <w:rFonts w:ascii="Times New Roman" w:hAnsi="Times New Roman" w:cs="Times New Roman"/>
                <w:i/>
                <w:iCs/>
                <w:sz w:val="20"/>
                <w:szCs w:val="20"/>
                <w:lang w:val="en-US"/>
              </w:rPr>
              <w:t>et al.</w:t>
            </w:r>
            <w:r w:rsidRPr="002C03A8">
              <w:rPr>
                <w:rFonts w:ascii="Times New Roman" w:hAnsi="Times New Roman" w:cs="Times New Roman"/>
                <w:sz w:val="20"/>
                <w:szCs w:val="20"/>
                <w:lang w:val="en-US"/>
              </w:rPr>
              <w:t xml:space="preserve"> (2024)</w:t>
            </w:r>
          </w:p>
          <w:p w14:paraId="1E7B073F" w14:textId="27941524"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Alley</w:t>
            </w:r>
            <w:r w:rsidR="00C76784" w:rsidRPr="002C03A8">
              <w:rPr>
                <w:rFonts w:ascii="Times New Roman" w:hAnsi="Times New Roman" w:cs="Times New Roman"/>
                <w:sz w:val="20"/>
                <w:szCs w:val="20"/>
                <w:lang w:val="en-US"/>
              </w:rPr>
              <w:t xml:space="preserve"> </w:t>
            </w:r>
            <w:r w:rsidRPr="002C03A8">
              <w:rPr>
                <w:rFonts w:ascii="Times New Roman" w:hAnsi="Times New Roman" w:cs="Times New Roman"/>
                <w:i/>
                <w:iCs/>
                <w:sz w:val="20"/>
                <w:szCs w:val="20"/>
                <w:lang w:val="en-US"/>
              </w:rPr>
              <w:t>et al.</w:t>
            </w:r>
            <w:r w:rsidRPr="002C03A8">
              <w:rPr>
                <w:rFonts w:ascii="Times New Roman" w:hAnsi="Times New Roman" w:cs="Times New Roman"/>
                <w:sz w:val="20"/>
                <w:szCs w:val="20"/>
                <w:lang w:val="en-US"/>
              </w:rPr>
              <w:t xml:space="preserve"> (2016)</w:t>
            </w:r>
          </w:p>
          <w:p w14:paraId="6A6C0841" w14:textId="4F001FE2" w:rsidR="0040463D" w:rsidRPr="002C03A8" w:rsidRDefault="0040463D" w:rsidP="00844B0F">
            <w:pPr>
              <w:jc w:val="left"/>
              <w:rPr>
                <w:rFonts w:ascii="Times New Roman" w:hAnsi="Times New Roman" w:cs="Times New Roman"/>
                <w:sz w:val="20"/>
                <w:szCs w:val="20"/>
                <w:lang w:val="en-US"/>
              </w:rPr>
            </w:pPr>
          </w:p>
        </w:tc>
      </w:tr>
      <w:tr w:rsidR="00107B20" w:rsidRPr="002C03A8" w14:paraId="438E6E47" w14:textId="77777777" w:rsidTr="005C23ED">
        <w:trPr>
          <w:jc w:val="center"/>
        </w:trPr>
        <w:tc>
          <w:tcPr>
            <w:tcW w:w="794" w:type="pct"/>
          </w:tcPr>
          <w:p w14:paraId="45C21DA0" w14:textId="469FE110" w:rsidR="00B619F0" w:rsidRPr="002C03A8" w:rsidRDefault="00B619F0"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Independent variable</w:t>
            </w:r>
          </w:p>
        </w:tc>
        <w:tc>
          <w:tcPr>
            <w:tcW w:w="1043" w:type="pct"/>
          </w:tcPr>
          <w:p w14:paraId="34A06DAE" w14:textId="53055D0E" w:rsidR="00B619F0" w:rsidRPr="002C03A8" w:rsidRDefault="00B619F0"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Board Size</w:t>
            </w:r>
            <w:r w:rsidR="00B34CF9" w:rsidRPr="002C03A8">
              <w:rPr>
                <w:rFonts w:ascii="Times New Roman" w:hAnsi="Times New Roman" w:cs="Times New Roman"/>
                <w:sz w:val="20"/>
                <w:szCs w:val="20"/>
                <w:lang w:val="en-US"/>
              </w:rPr>
              <w:t xml:space="preserve"> (BD_SIZE) </w:t>
            </w:r>
          </w:p>
        </w:tc>
        <w:tc>
          <w:tcPr>
            <w:tcW w:w="1878" w:type="pct"/>
          </w:tcPr>
          <w:p w14:paraId="099C76D8" w14:textId="1ECA3D56" w:rsidR="00B619F0" w:rsidRPr="002C03A8" w:rsidRDefault="00B619F0"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The total number of board members at the end of the fiscal year.</w:t>
            </w:r>
          </w:p>
        </w:tc>
        <w:tc>
          <w:tcPr>
            <w:tcW w:w="1285" w:type="pct"/>
          </w:tcPr>
          <w:p w14:paraId="2B0433AE" w14:textId="77777777" w:rsidR="003A5409" w:rsidRPr="002C03A8" w:rsidRDefault="00B619F0" w:rsidP="003A5409">
            <w:pPr>
              <w:jc w:val="left"/>
              <w:rPr>
                <w:rFonts w:ascii="Times New Roman" w:hAnsi="Times New Roman" w:cs="Times New Roman"/>
                <w:sz w:val="20"/>
                <w:szCs w:val="20"/>
                <w:lang w:val="en-US"/>
              </w:rPr>
            </w:pPr>
            <w:hyperlink r:id="rId8" w:history="1">
              <w:r w:rsidRPr="002C03A8">
                <w:rPr>
                  <w:rFonts w:ascii="Times New Roman" w:hAnsi="Times New Roman" w:cs="Times New Roman"/>
                  <w:sz w:val="20"/>
                  <w:szCs w:val="20"/>
                  <w:lang w:val="en-US"/>
                </w:rPr>
                <w:t>Hamad</w:t>
              </w:r>
            </w:hyperlink>
            <w:r w:rsidRPr="002C03A8">
              <w:rPr>
                <w:rFonts w:ascii="Times New Roman" w:hAnsi="Times New Roman" w:cs="Times New Roman"/>
                <w:sz w:val="20"/>
                <w:szCs w:val="20"/>
                <w:lang w:val="en-US"/>
              </w:rPr>
              <w:t xml:space="preserve"> </w:t>
            </w:r>
            <w:r w:rsidR="003A5409" w:rsidRPr="002C03A8">
              <w:rPr>
                <w:rFonts w:ascii="Times New Roman" w:hAnsi="Times New Roman" w:cs="Times New Roman"/>
                <w:sz w:val="20"/>
                <w:szCs w:val="20"/>
                <w:lang w:val="en-US"/>
              </w:rPr>
              <w:t>and</w:t>
            </w:r>
            <w:r w:rsidRPr="002C03A8">
              <w:rPr>
                <w:rFonts w:ascii="Times New Roman" w:hAnsi="Times New Roman" w:cs="Times New Roman"/>
                <w:sz w:val="20"/>
                <w:szCs w:val="20"/>
                <w:lang w:val="en-US"/>
              </w:rPr>
              <w:t xml:space="preserve"> </w:t>
            </w:r>
            <w:hyperlink r:id="rId9" w:history="1">
              <w:r w:rsidRPr="002C03A8">
                <w:rPr>
                  <w:rFonts w:ascii="Times New Roman" w:hAnsi="Times New Roman" w:cs="Times New Roman"/>
                  <w:sz w:val="20"/>
                  <w:szCs w:val="20"/>
                  <w:lang w:val="en-US"/>
                </w:rPr>
                <w:t>Cek</w:t>
              </w:r>
            </w:hyperlink>
            <w:r w:rsidRPr="002C03A8">
              <w:rPr>
                <w:rFonts w:ascii="Times New Roman" w:hAnsi="Times New Roman" w:cs="Times New Roman"/>
                <w:sz w:val="20"/>
                <w:szCs w:val="20"/>
                <w:lang w:val="en-US"/>
              </w:rPr>
              <w:t xml:space="preserve"> (2023)</w:t>
            </w:r>
          </w:p>
          <w:p w14:paraId="284EC273" w14:textId="77777777" w:rsidR="003A5409" w:rsidRPr="002C03A8" w:rsidRDefault="003A5409" w:rsidP="003A5409">
            <w:pPr>
              <w:jc w:val="left"/>
              <w:rPr>
                <w:rFonts w:ascii="Times New Roman" w:hAnsi="Times New Roman" w:cs="Times New Roman"/>
                <w:sz w:val="20"/>
                <w:szCs w:val="20"/>
                <w:lang w:val="en-US"/>
              </w:rPr>
            </w:pPr>
            <w:proofErr w:type="spellStart"/>
            <w:r w:rsidRPr="002C03A8">
              <w:rPr>
                <w:rFonts w:ascii="Times New Roman" w:hAnsi="Times New Roman" w:cs="Times New Roman"/>
                <w:sz w:val="20"/>
                <w:szCs w:val="20"/>
                <w:lang w:val="en-US"/>
              </w:rPr>
              <w:t>Melón-Izco</w:t>
            </w:r>
            <w:proofErr w:type="spellEnd"/>
            <w:r w:rsidRPr="002C03A8">
              <w:rPr>
                <w:rFonts w:ascii="Times New Roman" w:hAnsi="Times New Roman" w:cs="Times New Roman"/>
                <w:sz w:val="20"/>
                <w:szCs w:val="20"/>
                <w:lang w:val="en-US"/>
              </w:rPr>
              <w:t xml:space="preserve"> </w:t>
            </w:r>
            <w:r w:rsidRPr="002C03A8">
              <w:rPr>
                <w:rFonts w:ascii="Times New Roman" w:hAnsi="Times New Roman" w:cs="Times New Roman"/>
                <w:i/>
                <w:iCs/>
                <w:sz w:val="20"/>
                <w:szCs w:val="20"/>
                <w:lang w:val="en-US"/>
              </w:rPr>
              <w:t>et al.</w:t>
            </w:r>
            <w:r w:rsidRPr="002C03A8">
              <w:rPr>
                <w:rFonts w:ascii="Times New Roman" w:hAnsi="Times New Roman" w:cs="Times New Roman"/>
                <w:sz w:val="20"/>
                <w:szCs w:val="20"/>
                <w:lang w:val="en-US"/>
              </w:rPr>
              <w:t xml:space="preserve"> (2020) </w:t>
            </w:r>
          </w:p>
          <w:p w14:paraId="2A75E425" w14:textId="77D4585C" w:rsidR="003A5409" w:rsidRPr="002C03A8" w:rsidRDefault="003A5409" w:rsidP="003A5409">
            <w:pPr>
              <w:jc w:val="left"/>
              <w:rPr>
                <w:rFonts w:ascii="Times New Roman" w:hAnsi="Times New Roman" w:cs="Times New Roman"/>
                <w:sz w:val="20"/>
                <w:szCs w:val="20"/>
                <w:lang w:val="en-US"/>
              </w:rPr>
            </w:pPr>
            <w:proofErr w:type="spellStart"/>
            <w:r w:rsidRPr="002C03A8">
              <w:rPr>
                <w:rFonts w:ascii="Times New Roman" w:hAnsi="Times New Roman" w:cs="Times New Roman"/>
                <w:sz w:val="20"/>
                <w:szCs w:val="20"/>
                <w:lang w:val="en-US"/>
              </w:rPr>
              <w:t>Ionașcu</w:t>
            </w:r>
            <w:proofErr w:type="spellEnd"/>
            <w:r w:rsidRPr="002C03A8">
              <w:rPr>
                <w:rFonts w:ascii="Times New Roman" w:hAnsi="Times New Roman" w:cs="Times New Roman"/>
                <w:sz w:val="20"/>
                <w:szCs w:val="20"/>
                <w:lang w:val="en-US"/>
              </w:rPr>
              <w:t xml:space="preserve"> </w:t>
            </w:r>
            <w:r w:rsidRPr="002C03A8">
              <w:rPr>
                <w:rFonts w:ascii="Times New Roman" w:hAnsi="Times New Roman" w:cs="Times New Roman"/>
                <w:i/>
                <w:iCs/>
                <w:sz w:val="20"/>
                <w:szCs w:val="20"/>
                <w:lang w:val="en-US"/>
              </w:rPr>
              <w:t>et al.</w:t>
            </w:r>
            <w:r w:rsidRPr="002C03A8">
              <w:rPr>
                <w:rFonts w:ascii="Times New Roman" w:hAnsi="Times New Roman" w:cs="Times New Roman"/>
                <w:sz w:val="20"/>
                <w:szCs w:val="20"/>
                <w:lang w:val="en-US"/>
              </w:rPr>
              <w:t xml:space="preserve"> (2018)</w:t>
            </w:r>
          </w:p>
          <w:p w14:paraId="72064F92" w14:textId="07BE24C1" w:rsidR="003A5409" w:rsidRPr="002C03A8" w:rsidRDefault="003A5409" w:rsidP="003A5409">
            <w:pPr>
              <w:jc w:val="left"/>
              <w:rPr>
                <w:rFonts w:ascii="Times New Roman" w:hAnsi="Times New Roman" w:cs="Times New Roman"/>
                <w:sz w:val="20"/>
                <w:szCs w:val="20"/>
                <w:lang w:val="en-US"/>
              </w:rPr>
            </w:pPr>
          </w:p>
          <w:p w14:paraId="5287ECA6" w14:textId="772791B1" w:rsidR="00B619F0" w:rsidRPr="002C03A8" w:rsidRDefault="00B619F0" w:rsidP="00844B0F">
            <w:pPr>
              <w:jc w:val="left"/>
              <w:rPr>
                <w:rFonts w:ascii="Times New Roman" w:hAnsi="Times New Roman" w:cs="Times New Roman"/>
                <w:sz w:val="20"/>
                <w:szCs w:val="20"/>
                <w:lang w:val="en-US"/>
              </w:rPr>
            </w:pPr>
          </w:p>
        </w:tc>
      </w:tr>
      <w:tr w:rsidR="00107B20" w:rsidRPr="002C03A8" w14:paraId="11275C85" w14:textId="77777777" w:rsidTr="005C23ED">
        <w:trPr>
          <w:jc w:val="center"/>
        </w:trPr>
        <w:tc>
          <w:tcPr>
            <w:tcW w:w="794" w:type="pct"/>
          </w:tcPr>
          <w:p w14:paraId="24C7D7A6" w14:textId="0E090C23"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Independent variable</w:t>
            </w:r>
          </w:p>
        </w:tc>
        <w:tc>
          <w:tcPr>
            <w:tcW w:w="1043" w:type="pct"/>
          </w:tcPr>
          <w:p w14:paraId="30535029" w14:textId="28B71FF6"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Non-Executive Board</w:t>
            </w:r>
            <w:r w:rsidR="00B34CF9" w:rsidRPr="002C03A8">
              <w:rPr>
                <w:rFonts w:ascii="Times New Roman" w:hAnsi="Times New Roman" w:cs="Times New Roman"/>
                <w:sz w:val="20"/>
                <w:szCs w:val="20"/>
                <w:lang w:val="en-US"/>
              </w:rPr>
              <w:t xml:space="preserve"> </w:t>
            </w:r>
            <w:r w:rsidRPr="002C03A8">
              <w:rPr>
                <w:rFonts w:ascii="Times New Roman" w:hAnsi="Times New Roman" w:cs="Times New Roman"/>
                <w:sz w:val="20"/>
                <w:szCs w:val="20"/>
                <w:lang w:val="en-US"/>
              </w:rPr>
              <w:t xml:space="preserve">Members </w:t>
            </w:r>
            <w:r w:rsidR="00B34CF9" w:rsidRPr="002C03A8">
              <w:rPr>
                <w:rFonts w:ascii="Times New Roman" w:hAnsi="Times New Roman" w:cs="Times New Roman"/>
                <w:sz w:val="20"/>
                <w:szCs w:val="20"/>
                <w:lang w:val="en-US"/>
              </w:rPr>
              <w:t>(NON_EXEC)</w:t>
            </w:r>
          </w:p>
        </w:tc>
        <w:tc>
          <w:tcPr>
            <w:tcW w:w="1878" w:type="pct"/>
          </w:tcPr>
          <w:p w14:paraId="07371016" w14:textId="2A36DFC2"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Percentage of non-executive board members.</w:t>
            </w:r>
          </w:p>
        </w:tc>
        <w:tc>
          <w:tcPr>
            <w:tcW w:w="1285" w:type="pct"/>
          </w:tcPr>
          <w:p w14:paraId="6670D1A4" w14:textId="3C36329D" w:rsidR="00502303" w:rsidRPr="002C03A8" w:rsidRDefault="00502303" w:rsidP="00844B0F">
            <w:pPr>
              <w:jc w:val="left"/>
              <w:rPr>
                <w:rFonts w:ascii="Times New Roman" w:hAnsi="Times New Roman" w:cs="Times New Roman"/>
                <w:sz w:val="20"/>
                <w:szCs w:val="20"/>
                <w:lang w:val="en-US"/>
              </w:rPr>
            </w:pPr>
            <w:proofErr w:type="spellStart"/>
            <w:r w:rsidRPr="002C03A8">
              <w:rPr>
                <w:rFonts w:ascii="Times New Roman" w:hAnsi="Times New Roman" w:cs="Times New Roman"/>
                <w:sz w:val="20"/>
                <w:szCs w:val="20"/>
                <w:lang w:val="en-US"/>
              </w:rPr>
              <w:t>Melón-Izco</w:t>
            </w:r>
            <w:proofErr w:type="spellEnd"/>
            <w:r w:rsidR="00C76784" w:rsidRPr="002C03A8">
              <w:rPr>
                <w:rFonts w:ascii="Times New Roman" w:hAnsi="Times New Roman" w:cs="Times New Roman"/>
                <w:sz w:val="20"/>
                <w:szCs w:val="20"/>
                <w:lang w:val="en-US"/>
              </w:rPr>
              <w:t xml:space="preserve"> </w:t>
            </w:r>
            <w:r w:rsidRPr="002C03A8">
              <w:rPr>
                <w:rFonts w:ascii="Times New Roman" w:hAnsi="Times New Roman" w:cs="Times New Roman"/>
                <w:i/>
                <w:iCs/>
                <w:sz w:val="20"/>
                <w:szCs w:val="20"/>
                <w:lang w:val="en-US"/>
              </w:rPr>
              <w:t>et al</w:t>
            </w:r>
            <w:r w:rsidRPr="002C03A8">
              <w:rPr>
                <w:rFonts w:ascii="Times New Roman" w:hAnsi="Times New Roman" w:cs="Times New Roman"/>
                <w:sz w:val="20"/>
                <w:szCs w:val="20"/>
                <w:lang w:val="en-US"/>
              </w:rPr>
              <w:t>. (2020)</w:t>
            </w:r>
          </w:p>
        </w:tc>
      </w:tr>
      <w:tr w:rsidR="00107B20" w:rsidRPr="002C03A8" w14:paraId="75488707" w14:textId="77777777" w:rsidTr="005C23ED">
        <w:trPr>
          <w:jc w:val="center"/>
        </w:trPr>
        <w:tc>
          <w:tcPr>
            <w:tcW w:w="794" w:type="pct"/>
          </w:tcPr>
          <w:p w14:paraId="61F2218C" w14:textId="0C235E74"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Independent variable</w:t>
            </w:r>
          </w:p>
        </w:tc>
        <w:tc>
          <w:tcPr>
            <w:tcW w:w="1043" w:type="pct"/>
          </w:tcPr>
          <w:p w14:paraId="3B4DBB63" w14:textId="7E9F9A7F"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Board Meeting Attendance Average</w:t>
            </w:r>
            <w:r w:rsidR="00B34CF9" w:rsidRPr="002C03A8">
              <w:rPr>
                <w:rFonts w:ascii="Times New Roman" w:hAnsi="Times New Roman" w:cs="Times New Roman"/>
                <w:sz w:val="20"/>
                <w:szCs w:val="20"/>
                <w:lang w:val="en-US"/>
              </w:rPr>
              <w:t xml:space="preserve"> (BD_ATT) </w:t>
            </w:r>
          </w:p>
        </w:tc>
        <w:tc>
          <w:tcPr>
            <w:tcW w:w="1878" w:type="pct"/>
          </w:tcPr>
          <w:p w14:paraId="301A8F72" w14:textId="4C4BF126" w:rsidR="00502303" w:rsidRPr="002C03A8" w:rsidRDefault="00FE4A1D"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M</w:t>
            </w:r>
            <w:r w:rsidR="00502303" w:rsidRPr="002C03A8">
              <w:rPr>
                <w:rFonts w:ascii="Times New Roman" w:hAnsi="Times New Roman" w:cs="Times New Roman"/>
                <w:sz w:val="20"/>
                <w:szCs w:val="20"/>
                <w:lang w:val="en-US"/>
              </w:rPr>
              <w:t>embers attended versus the total number of board meetings held</w:t>
            </w:r>
            <w:r w:rsidR="00C07C88" w:rsidRPr="002C03A8">
              <w:rPr>
                <w:rFonts w:ascii="Times New Roman" w:hAnsi="Times New Roman" w:cs="Times New Roman"/>
                <w:sz w:val="20"/>
                <w:szCs w:val="20"/>
                <w:lang w:val="en-US"/>
              </w:rPr>
              <w:t>.</w:t>
            </w:r>
          </w:p>
        </w:tc>
        <w:tc>
          <w:tcPr>
            <w:tcW w:w="1285" w:type="pct"/>
          </w:tcPr>
          <w:p w14:paraId="05FDD106" w14:textId="0CDEF5FA" w:rsidR="00502303" w:rsidRPr="002C03A8" w:rsidRDefault="00502303" w:rsidP="00844B0F">
            <w:pPr>
              <w:jc w:val="left"/>
              <w:rPr>
                <w:rFonts w:ascii="Times New Roman" w:hAnsi="Times New Roman" w:cs="Times New Roman"/>
                <w:sz w:val="20"/>
                <w:szCs w:val="20"/>
                <w:lang w:val="en-US"/>
              </w:rPr>
            </w:pPr>
            <w:proofErr w:type="spellStart"/>
            <w:r w:rsidRPr="002C03A8">
              <w:rPr>
                <w:rFonts w:ascii="Times New Roman" w:hAnsi="Times New Roman" w:cs="Times New Roman"/>
                <w:sz w:val="20"/>
                <w:szCs w:val="20"/>
                <w:lang w:val="en-US"/>
              </w:rPr>
              <w:t>Melón-Izco</w:t>
            </w:r>
            <w:proofErr w:type="spellEnd"/>
            <w:r w:rsidR="00C76784" w:rsidRPr="002C03A8">
              <w:rPr>
                <w:rFonts w:ascii="Times New Roman" w:hAnsi="Times New Roman" w:cs="Times New Roman"/>
                <w:sz w:val="20"/>
                <w:szCs w:val="20"/>
                <w:lang w:val="en-US"/>
              </w:rPr>
              <w:t xml:space="preserve"> </w:t>
            </w:r>
            <w:r w:rsidRPr="002C03A8">
              <w:rPr>
                <w:rFonts w:ascii="Times New Roman" w:hAnsi="Times New Roman" w:cs="Times New Roman"/>
                <w:i/>
                <w:iCs/>
                <w:sz w:val="20"/>
                <w:szCs w:val="20"/>
                <w:lang w:val="en-US"/>
              </w:rPr>
              <w:t>et al</w:t>
            </w:r>
            <w:r w:rsidRPr="002C03A8">
              <w:rPr>
                <w:rFonts w:ascii="Times New Roman" w:hAnsi="Times New Roman" w:cs="Times New Roman"/>
                <w:sz w:val="20"/>
                <w:szCs w:val="20"/>
                <w:lang w:val="en-US"/>
              </w:rPr>
              <w:t>. (2020)</w:t>
            </w:r>
          </w:p>
        </w:tc>
      </w:tr>
      <w:tr w:rsidR="00107B20" w:rsidRPr="002C03A8" w14:paraId="5CC68C14" w14:textId="77777777" w:rsidTr="005C23ED">
        <w:trPr>
          <w:jc w:val="center"/>
        </w:trPr>
        <w:tc>
          <w:tcPr>
            <w:tcW w:w="794" w:type="pct"/>
          </w:tcPr>
          <w:p w14:paraId="46CF75C4" w14:textId="43EB4369"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Independent variable</w:t>
            </w:r>
          </w:p>
        </w:tc>
        <w:tc>
          <w:tcPr>
            <w:tcW w:w="1043" w:type="pct"/>
          </w:tcPr>
          <w:p w14:paraId="07255477" w14:textId="48987943"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Board Gender Diversity</w:t>
            </w:r>
            <w:r w:rsidR="00B34CF9" w:rsidRPr="002C03A8">
              <w:rPr>
                <w:rFonts w:ascii="Times New Roman" w:hAnsi="Times New Roman" w:cs="Times New Roman"/>
                <w:sz w:val="20"/>
                <w:szCs w:val="20"/>
                <w:lang w:val="en-US"/>
              </w:rPr>
              <w:t xml:space="preserve"> (GEN_BD)</w:t>
            </w:r>
          </w:p>
        </w:tc>
        <w:tc>
          <w:tcPr>
            <w:tcW w:w="1878" w:type="pct"/>
          </w:tcPr>
          <w:p w14:paraId="3E260729" w14:textId="577D931C"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Percentage of female on the board</w:t>
            </w:r>
            <w:r w:rsidR="00C07C88" w:rsidRPr="002C03A8">
              <w:rPr>
                <w:rFonts w:ascii="Times New Roman" w:hAnsi="Times New Roman" w:cs="Times New Roman"/>
                <w:sz w:val="20"/>
                <w:szCs w:val="20"/>
                <w:lang w:val="en-US"/>
              </w:rPr>
              <w:t>.</w:t>
            </w:r>
          </w:p>
        </w:tc>
        <w:tc>
          <w:tcPr>
            <w:tcW w:w="1285" w:type="pct"/>
          </w:tcPr>
          <w:p w14:paraId="5A3BC0E2" w14:textId="77777777" w:rsidR="003A5409" w:rsidRPr="002C03A8" w:rsidRDefault="003A5409"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 xml:space="preserve">Da Silva </w:t>
            </w:r>
            <w:r w:rsidRPr="002C03A8">
              <w:rPr>
                <w:rFonts w:ascii="Times New Roman" w:hAnsi="Times New Roman" w:cs="Times New Roman"/>
                <w:i/>
                <w:iCs/>
                <w:sz w:val="20"/>
                <w:szCs w:val="20"/>
                <w:lang w:val="en-US"/>
              </w:rPr>
              <w:t>et al</w:t>
            </w:r>
            <w:r w:rsidRPr="002C03A8">
              <w:rPr>
                <w:rFonts w:ascii="Times New Roman" w:hAnsi="Times New Roman" w:cs="Times New Roman"/>
                <w:sz w:val="20"/>
                <w:szCs w:val="20"/>
                <w:lang w:val="en-US"/>
              </w:rPr>
              <w:t>. (2024)</w:t>
            </w:r>
          </w:p>
          <w:p w14:paraId="71784235" w14:textId="58E8135D" w:rsidR="00502303" w:rsidRPr="002C03A8" w:rsidRDefault="00502303" w:rsidP="00844B0F">
            <w:pPr>
              <w:jc w:val="left"/>
              <w:rPr>
                <w:rFonts w:ascii="Times New Roman" w:hAnsi="Times New Roman" w:cs="Times New Roman"/>
                <w:sz w:val="20"/>
                <w:szCs w:val="20"/>
                <w:lang w:val="en-US"/>
              </w:rPr>
            </w:pPr>
            <w:proofErr w:type="spellStart"/>
            <w:r w:rsidRPr="002C03A8">
              <w:rPr>
                <w:rFonts w:ascii="Times New Roman" w:hAnsi="Times New Roman" w:cs="Times New Roman"/>
                <w:sz w:val="20"/>
                <w:szCs w:val="20"/>
                <w:lang w:val="en-US"/>
              </w:rPr>
              <w:t>Ionașcu</w:t>
            </w:r>
            <w:proofErr w:type="spellEnd"/>
            <w:r w:rsidRPr="002C03A8">
              <w:rPr>
                <w:rFonts w:ascii="Times New Roman" w:hAnsi="Times New Roman" w:cs="Times New Roman"/>
                <w:sz w:val="20"/>
                <w:szCs w:val="20"/>
                <w:lang w:val="en-US"/>
              </w:rPr>
              <w:t xml:space="preserve"> </w:t>
            </w:r>
            <w:r w:rsidRPr="002C03A8">
              <w:rPr>
                <w:rFonts w:ascii="Times New Roman" w:hAnsi="Times New Roman" w:cs="Times New Roman"/>
                <w:i/>
                <w:iCs/>
                <w:sz w:val="20"/>
                <w:szCs w:val="20"/>
                <w:lang w:val="en-US"/>
              </w:rPr>
              <w:t>et al</w:t>
            </w:r>
            <w:r w:rsidRPr="002C03A8">
              <w:rPr>
                <w:rFonts w:ascii="Times New Roman" w:hAnsi="Times New Roman" w:cs="Times New Roman"/>
                <w:sz w:val="20"/>
                <w:szCs w:val="20"/>
                <w:lang w:val="en-US"/>
              </w:rPr>
              <w:t>. (2018)</w:t>
            </w:r>
          </w:p>
          <w:p w14:paraId="53ED96FF" w14:textId="38915CE5" w:rsidR="0040463D" w:rsidRPr="002C03A8" w:rsidRDefault="0040463D" w:rsidP="00844B0F">
            <w:pPr>
              <w:jc w:val="left"/>
              <w:rPr>
                <w:rFonts w:ascii="Times New Roman" w:hAnsi="Times New Roman" w:cs="Times New Roman"/>
                <w:sz w:val="20"/>
                <w:szCs w:val="20"/>
                <w:lang w:val="en-US"/>
              </w:rPr>
            </w:pPr>
          </w:p>
        </w:tc>
      </w:tr>
      <w:tr w:rsidR="00107B20" w:rsidRPr="002C03A8" w14:paraId="24AE5E2C" w14:textId="77777777" w:rsidTr="005C23ED">
        <w:trPr>
          <w:jc w:val="center"/>
        </w:trPr>
        <w:tc>
          <w:tcPr>
            <w:tcW w:w="794" w:type="pct"/>
          </w:tcPr>
          <w:p w14:paraId="49E2D7E5" w14:textId="3385E09F"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Independent variable</w:t>
            </w:r>
          </w:p>
        </w:tc>
        <w:tc>
          <w:tcPr>
            <w:tcW w:w="1043" w:type="pct"/>
          </w:tcPr>
          <w:p w14:paraId="69E6CA7D" w14:textId="7376E297"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Executive Members Gender Diversity</w:t>
            </w:r>
            <w:r w:rsidR="00B34CF9" w:rsidRPr="002C03A8">
              <w:rPr>
                <w:rFonts w:ascii="Times New Roman" w:hAnsi="Times New Roman" w:cs="Times New Roman"/>
                <w:sz w:val="20"/>
                <w:szCs w:val="20"/>
                <w:lang w:val="en-US"/>
              </w:rPr>
              <w:t xml:space="preserve"> (GEN_EXEC)</w:t>
            </w:r>
          </w:p>
        </w:tc>
        <w:tc>
          <w:tcPr>
            <w:tcW w:w="1878" w:type="pct"/>
          </w:tcPr>
          <w:p w14:paraId="55F316F2" w14:textId="5D638A91"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Percentage of female executive members.</w:t>
            </w:r>
          </w:p>
        </w:tc>
        <w:tc>
          <w:tcPr>
            <w:tcW w:w="1285" w:type="pct"/>
          </w:tcPr>
          <w:p w14:paraId="69C42438" w14:textId="4EC7C80C" w:rsidR="00502303" w:rsidRPr="002C03A8" w:rsidRDefault="00502303" w:rsidP="00844B0F">
            <w:pPr>
              <w:jc w:val="left"/>
              <w:rPr>
                <w:rFonts w:ascii="Times New Roman" w:hAnsi="Times New Roman" w:cs="Times New Roman"/>
                <w:sz w:val="20"/>
                <w:szCs w:val="20"/>
                <w:lang w:val="en-US"/>
              </w:rPr>
            </w:pPr>
            <w:proofErr w:type="spellStart"/>
            <w:r w:rsidRPr="002C03A8">
              <w:rPr>
                <w:rFonts w:ascii="Times New Roman" w:hAnsi="Times New Roman" w:cs="Times New Roman"/>
                <w:sz w:val="20"/>
                <w:szCs w:val="20"/>
                <w:lang w:val="en-US"/>
              </w:rPr>
              <w:t>Ionașcu</w:t>
            </w:r>
            <w:proofErr w:type="spellEnd"/>
            <w:r w:rsidRPr="002C03A8">
              <w:rPr>
                <w:rFonts w:ascii="Times New Roman" w:hAnsi="Times New Roman" w:cs="Times New Roman"/>
                <w:sz w:val="20"/>
                <w:szCs w:val="20"/>
                <w:lang w:val="en-US"/>
              </w:rPr>
              <w:t xml:space="preserve"> </w:t>
            </w:r>
            <w:r w:rsidRPr="002C03A8">
              <w:rPr>
                <w:rFonts w:ascii="Times New Roman" w:hAnsi="Times New Roman" w:cs="Times New Roman"/>
                <w:i/>
                <w:iCs/>
                <w:sz w:val="20"/>
                <w:szCs w:val="20"/>
                <w:lang w:val="en-US"/>
              </w:rPr>
              <w:t>et al</w:t>
            </w:r>
            <w:r w:rsidRPr="002C03A8">
              <w:rPr>
                <w:rFonts w:ascii="Times New Roman" w:hAnsi="Times New Roman" w:cs="Times New Roman"/>
                <w:sz w:val="20"/>
                <w:szCs w:val="20"/>
                <w:lang w:val="en-US"/>
              </w:rPr>
              <w:t>. (2018)</w:t>
            </w:r>
          </w:p>
        </w:tc>
      </w:tr>
      <w:tr w:rsidR="00107B20" w:rsidRPr="002C03A8" w14:paraId="2FE57FF6" w14:textId="77777777" w:rsidTr="005C23ED">
        <w:trPr>
          <w:jc w:val="center"/>
        </w:trPr>
        <w:tc>
          <w:tcPr>
            <w:tcW w:w="794" w:type="pct"/>
          </w:tcPr>
          <w:p w14:paraId="5F48FF82" w14:textId="3207068F"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Independent variable</w:t>
            </w:r>
          </w:p>
        </w:tc>
        <w:tc>
          <w:tcPr>
            <w:tcW w:w="1043" w:type="pct"/>
          </w:tcPr>
          <w:p w14:paraId="1F9CEB1C" w14:textId="4C3122C2"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Audit Committee Expertise</w:t>
            </w:r>
            <w:r w:rsidR="00B34CF9" w:rsidRPr="002C03A8">
              <w:rPr>
                <w:rFonts w:ascii="Times New Roman" w:hAnsi="Times New Roman" w:cs="Times New Roman"/>
                <w:sz w:val="20"/>
                <w:szCs w:val="20"/>
                <w:lang w:val="en-US"/>
              </w:rPr>
              <w:t xml:space="preserve"> (AUD_EXP)</w:t>
            </w:r>
          </w:p>
        </w:tc>
        <w:tc>
          <w:tcPr>
            <w:tcW w:w="1878" w:type="pct"/>
          </w:tcPr>
          <w:p w14:paraId="61F45F8C" w14:textId="2F3B18EE"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Does the company have an audit committee with at least three members and at least one "financial expert" within the meaning of Sarbanes-Oxley?</w:t>
            </w:r>
          </w:p>
        </w:tc>
        <w:tc>
          <w:tcPr>
            <w:tcW w:w="1285" w:type="pct"/>
          </w:tcPr>
          <w:p w14:paraId="7702578C" w14:textId="3CFBDC2D" w:rsidR="00502303" w:rsidRPr="002C03A8" w:rsidRDefault="00502303" w:rsidP="00844B0F">
            <w:pPr>
              <w:jc w:val="left"/>
              <w:rPr>
                <w:rFonts w:ascii="Times New Roman" w:hAnsi="Times New Roman" w:cs="Times New Roman"/>
                <w:sz w:val="20"/>
                <w:szCs w:val="20"/>
                <w:lang w:val="en-US"/>
              </w:rPr>
            </w:pPr>
            <w:proofErr w:type="spellStart"/>
            <w:r w:rsidRPr="002C03A8">
              <w:rPr>
                <w:rFonts w:ascii="Times New Roman" w:hAnsi="Times New Roman" w:cs="Times New Roman"/>
                <w:sz w:val="20"/>
                <w:szCs w:val="20"/>
                <w:lang w:val="en-US"/>
              </w:rPr>
              <w:t>Melón-Izco</w:t>
            </w:r>
            <w:proofErr w:type="spellEnd"/>
            <w:r w:rsidR="005E2454" w:rsidRPr="002C03A8">
              <w:rPr>
                <w:rFonts w:ascii="Times New Roman" w:hAnsi="Times New Roman" w:cs="Times New Roman"/>
                <w:sz w:val="20"/>
                <w:szCs w:val="20"/>
                <w:lang w:val="en-US"/>
              </w:rPr>
              <w:t xml:space="preserve"> </w:t>
            </w:r>
            <w:r w:rsidRPr="002C03A8">
              <w:rPr>
                <w:rFonts w:ascii="Times New Roman" w:hAnsi="Times New Roman" w:cs="Times New Roman"/>
                <w:i/>
                <w:iCs/>
                <w:sz w:val="20"/>
                <w:szCs w:val="20"/>
                <w:lang w:val="en-US"/>
              </w:rPr>
              <w:t>et al</w:t>
            </w:r>
            <w:r w:rsidRPr="002C03A8">
              <w:rPr>
                <w:rFonts w:ascii="Times New Roman" w:hAnsi="Times New Roman" w:cs="Times New Roman"/>
                <w:sz w:val="20"/>
                <w:szCs w:val="20"/>
                <w:lang w:val="en-US"/>
              </w:rPr>
              <w:t>. (2020)</w:t>
            </w:r>
          </w:p>
        </w:tc>
      </w:tr>
      <w:tr w:rsidR="00107B20" w:rsidRPr="002C03A8" w14:paraId="3A04288E" w14:textId="77777777" w:rsidTr="005C23ED">
        <w:trPr>
          <w:jc w:val="center"/>
        </w:trPr>
        <w:tc>
          <w:tcPr>
            <w:tcW w:w="794" w:type="pct"/>
          </w:tcPr>
          <w:p w14:paraId="3C32857B" w14:textId="418BC660"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Independent variable</w:t>
            </w:r>
          </w:p>
        </w:tc>
        <w:tc>
          <w:tcPr>
            <w:tcW w:w="1043" w:type="pct"/>
          </w:tcPr>
          <w:p w14:paraId="40CC13E8" w14:textId="7ADECBEB" w:rsidR="00B34CF9" w:rsidRPr="002C03A8" w:rsidRDefault="00B34CF9"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Executive Independence of the Audit Committee (AUD_NONEX)</w:t>
            </w:r>
          </w:p>
        </w:tc>
        <w:tc>
          <w:tcPr>
            <w:tcW w:w="1878" w:type="pct"/>
          </w:tcPr>
          <w:p w14:paraId="7024886A" w14:textId="357A0551"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Does the company report that all audit committee members are non-executives?</w:t>
            </w:r>
          </w:p>
        </w:tc>
        <w:tc>
          <w:tcPr>
            <w:tcW w:w="1285" w:type="pct"/>
          </w:tcPr>
          <w:p w14:paraId="4492423E" w14:textId="108812E6" w:rsidR="00502303" w:rsidRPr="002C03A8" w:rsidRDefault="00502303" w:rsidP="00844B0F">
            <w:pPr>
              <w:jc w:val="left"/>
              <w:rPr>
                <w:rFonts w:ascii="Times New Roman" w:hAnsi="Times New Roman" w:cs="Times New Roman"/>
                <w:sz w:val="20"/>
                <w:szCs w:val="20"/>
                <w:lang w:val="en-US"/>
              </w:rPr>
            </w:pPr>
            <w:proofErr w:type="spellStart"/>
            <w:r w:rsidRPr="002C03A8">
              <w:rPr>
                <w:rFonts w:ascii="Times New Roman" w:hAnsi="Times New Roman" w:cs="Times New Roman"/>
                <w:sz w:val="20"/>
                <w:szCs w:val="20"/>
                <w:lang w:val="en-US"/>
              </w:rPr>
              <w:t>Melón-Izco</w:t>
            </w:r>
            <w:proofErr w:type="spellEnd"/>
            <w:r w:rsidR="005E2454" w:rsidRPr="002C03A8">
              <w:rPr>
                <w:rFonts w:ascii="Times New Roman" w:hAnsi="Times New Roman" w:cs="Times New Roman"/>
                <w:sz w:val="20"/>
                <w:szCs w:val="20"/>
                <w:lang w:val="en-US"/>
              </w:rPr>
              <w:t xml:space="preserve"> </w:t>
            </w:r>
            <w:r w:rsidRPr="002C03A8">
              <w:rPr>
                <w:rFonts w:ascii="Times New Roman" w:hAnsi="Times New Roman" w:cs="Times New Roman"/>
                <w:i/>
                <w:iCs/>
                <w:sz w:val="20"/>
                <w:szCs w:val="20"/>
                <w:lang w:val="en-US"/>
              </w:rPr>
              <w:t>et al</w:t>
            </w:r>
            <w:r w:rsidRPr="002C03A8">
              <w:rPr>
                <w:rFonts w:ascii="Times New Roman" w:hAnsi="Times New Roman" w:cs="Times New Roman"/>
                <w:sz w:val="20"/>
                <w:szCs w:val="20"/>
                <w:lang w:val="en-US"/>
              </w:rPr>
              <w:t>. (2020)</w:t>
            </w:r>
          </w:p>
        </w:tc>
      </w:tr>
      <w:tr w:rsidR="00107B20" w:rsidRPr="002C03A8" w14:paraId="55793B93" w14:textId="77777777" w:rsidTr="005C23ED">
        <w:trPr>
          <w:trHeight w:val="64"/>
          <w:jc w:val="center"/>
        </w:trPr>
        <w:tc>
          <w:tcPr>
            <w:tcW w:w="794" w:type="pct"/>
          </w:tcPr>
          <w:p w14:paraId="63F587C4" w14:textId="2A461822"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Independent variable</w:t>
            </w:r>
          </w:p>
        </w:tc>
        <w:tc>
          <w:tcPr>
            <w:tcW w:w="1043" w:type="pct"/>
          </w:tcPr>
          <w:p w14:paraId="5D7AEDCE" w14:textId="50F6F9CD"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Audit Committee Independence</w:t>
            </w:r>
            <w:r w:rsidR="00B34CF9" w:rsidRPr="002C03A8">
              <w:rPr>
                <w:rFonts w:ascii="Times New Roman" w:hAnsi="Times New Roman" w:cs="Times New Roman"/>
                <w:sz w:val="20"/>
                <w:szCs w:val="20"/>
                <w:lang w:val="en-US"/>
              </w:rPr>
              <w:t xml:space="preserve"> (AUD_IND)</w:t>
            </w:r>
          </w:p>
        </w:tc>
        <w:tc>
          <w:tcPr>
            <w:tcW w:w="1878" w:type="pct"/>
          </w:tcPr>
          <w:p w14:paraId="5001E861" w14:textId="3071FA22"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Percentage of independent board members on the audit committee as stipulated by the company.</w:t>
            </w:r>
          </w:p>
        </w:tc>
        <w:tc>
          <w:tcPr>
            <w:tcW w:w="1285" w:type="pct"/>
          </w:tcPr>
          <w:p w14:paraId="743CA455" w14:textId="1BEA7CB9" w:rsidR="00502303" w:rsidRPr="002C03A8" w:rsidRDefault="00502303" w:rsidP="00844B0F">
            <w:pPr>
              <w:jc w:val="left"/>
              <w:rPr>
                <w:rFonts w:ascii="Times New Roman" w:hAnsi="Times New Roman" w:cs="Times New Roman"/>
                <w:sz w:val="20"/>
                <w:szCs w:val="20"/>
                <w:lang w:val="en-US"/>
              </w:rPr>
            </w:pPr>
            <w:proofErr w:type="spellStart"/>
            <w:r w:rsidRPr="002C03A8">
              <w:rPr>
                <w:rFonts w:ascii="Times New Roman" w:hAnsi="Times New Roman" w:cs="Times New Roman"/>
                <w:sz w:val="20"/>
                <w:szCs w:val="20"/>
                <w:lang w:val="en-US"/>
              </w:rPr>
              <w:t>Melón-Izco</w:t>
            </w:r>
            <w:proofErr w:type="spellEnd"/>
            <w:r w:rsidR="005E2454" w:rsidRPr="002C03A8">
              <w:rPr>
                <w:rFonts w:ascii="Times New Roman" w:hAnsi="Times New Roman" w:cs="Times New Roman"/>
                <w:sz w:val="20"/>
                <w:szCs w:val="20"/>
                <w:lang w:val="en-US"/>
              </w:rPr>
              <w:t xml:space="preserve"> </w:t>
            </w:r>
            <w:r w:rsidRPr="002C03A8">
              <w:rPr>
                <w:rFonts w:ascii="Times New Roman" w:hAnsi="Times New Roman" w:cs="Times New Roman"/>
                <w:i/>
                <w:iCs/>
                <w:sz w:val="20"/>
                <w:szCs w:val="20"/>
                <w:lang w:val="en-US"/>
              </w:rPr>
              <w:t>et al</w:t>
            </w:r>
            <w:r w:rsidRPr="002C03A8">
              <w:rPr>
                <w:rFonts w:ascii="Times New Roman" w:hAnsi="Times New Roman" w:cs="Times New Roman"/>
                <w:sz w:val="20"/>
                <w:szCs w:val="20"/>
                <w:lang w:val="en-US"/>
              </w:rPr>
              <w:t>. (2020)</w:t>
            </w:r>
          </w:p>
        </w:tc>
      </w:tr>
      <w:tr w:rsidR="00107B20" w:rsidRPr="002C03A8" w14:paraId="48EEF887" w14:textId="77777777" w:rsidTr="005C23ED">
        <w:trPr>
          <w:trHeight w:val="64"/>
          <w:jc w:val="center"/>
        </w:trPr>
        <w:tc>
          <w:tcPr>
            <w:tcW w:w="794" w:type="pct"/>
          </w:tcPr>
          <w:p w14:paraId="51AF68B7" w14:textId="5E18A039"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Independent variable</w:t>
            </w:r>
          </w:p>
        </w:tc>
        <w:tc>
          <w:tcPr>
            <w:tcW w:w="1043" w:type="pct"/>
          </w:tcPr>
          <w:p w14:paraId="51512206" w14:textId="4821CB4C"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 xml:space="preserve">Internal Audit Department Reporting </w:t>
            </w:r>
            <w:r w:rsidR="00B34CF9" w:rsidRPr="002C03A8">
              <w:rPr>
                <w:rFonts w:ascii="Times New Roman" w:hAnsi="Times New Roman" w:cs="Times New Roman"/>
                <w:sz w:val="20"/>
                <w:szCs w:val="20"/>
                <w:lang w:val="en-US"/>
              </w:rPr>
              <w:t>(INT_AUD)</w:t>
            </w:r>
          </w:p>
        </w:tc>
        <w:tc>
          <w:tcPr>
            <w:tcW w:w="1878" w:type="pct"/>
          </w:tcPr>
          <w:p w14:paraId="30932F73" w14:textId="60F5DEAF" w:rsidR="00502303" w:rsidRPr="002C03A8" w:rsidRDefault="00BB02A7"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The Internal Audit Department is considered to report to the Audit Committee if there is a direct reporting line, if the Audit Committee oversees its activities. It is classified as false if Internal Audit reports primarily to the CEO or executive management.</w:t>
            </w:r>
          </w:p>
        </w:tc>
        <w:tc>
          <w:tcPr>
            <w:tcW w:w="1285" w:type="pct"/>
          </w:tcPr>
          <w:p w14:paraId="19901E81" w14:textId="52BFEDD6"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Tušek</w:t>
            </w:r>
            <w:r w:rsidR="005E2454" w:rsidRPr="002C03A8">
              <w:rPr>
                <w:rFonts w:ascii="Times New Roman" w:hAnsi="Times New Roman" w:cs="Times New Roman"/>
                <w:sz w:val="20"/>
                <w:szCs w:val="20"/>
                <w:lang w:val="en-US"/>
              </w:rPr>
              <w:t xml:space="preserve"> </w:t>
            </w:r>
            <w:r w:rsidRPr="002C03A8">
              <w:rPr>
                <w:rFonts w:ascii="Times New Roman" w:hAnsi="Times New Roman" w:cs="Times New Roman"/>
                <w:sz w:val="20"/>
                <w:szCs w:val="20"/>
                <w:lang w:val="en-US"/>
              </w:rPr>
              <w:t>(2015)</w:t>
            </w:r>
          </w:p>
        </w:tc>
      </w:tr>
      <w:tr w:rsidR="00107B20" w:rsidRPr="002C03A8" w14:paraId="660C0AD2" w14:textId="77777777" w:rsidTr="005C23ED">
        <w:trPr>
          <w:trHeight w:val="64"/>
          <w:jc w:val="center"/>
        </w:trPr>
        <w:tc>
          <w:tcPr>
            <w:tcW w:w="794" w:type="pct"/>
          </w:tcPr>
          <w:p w14:paraId="12C13FB1" w14:textId="6EBA5A37"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Control variable</w:t>
            </w:r>
          </w:p>
        </w:tc>
        <w:tc>
          <w:tcPr>
            <w:tcW w:w="1043" w:type="pct"/>
          </w:tcPr>
          <w:p w14:paraId="1AB52B51" w14:textId="25AA5512"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Total Assets Actual</w:t>
            </w:r>
            <w:r w:rsidR="00B34CF9" w:rsidRPr="002C03A8">
              <w:rPr>
                <w:rFonts w:ascii="Times New Roman" w:hAnsi="Times New Roman" w:cs="Times New Roman"/>
                <w:sz w:val="20"/>
                <w:szCs w:val="20"/>
                <w:lang w:val="en-US"/>
              </w:rPr>
              <w:t xml:space="preserve"> (SIZE)</w:t>
            </w:r>
          </w:p>
        </w:tc>
        <w:tc>
          <w:tcPr>
            <w:tcW w:w="1878" w:type="pct"/>
          </w:tcPr>
          <w:p w14:paraId="6252ADAB" w14:textId="77777777" w:rsidR="00502303" w:rsidRPr="002C03A8" w:rsidRDefault="00502303"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 xml:space="preserve">Total Assets is anything tangible or intangible that is capable of being owned or controlled to produce value and that is held to have positive economic value is considered an asset. </w:t>
            </w:r>
          </w:p>
          <w:p w14:paraId="334B76E0" w14:textId="457F5C41" w:rsidR="00A6376E" w:rsidRPr="002C03A8" w:rsidRDefault="00BA6726"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This variable serves as a proxy for firm size, reflecting the total resources controlled by the entity and its operational scale.</w:t>
            </w:r>
          </w:p>
        </w:tc>
        <w:tc>
          <w:tcPr>
            <w:tcW w:w="1285" w:type="pct"/>
          </w:tcPr>
          <w:p w14:paraId="711C4EE8" w14:textId="1F632177" w:rsidR="00502303" w:rsidRPr="002C03A8" w:rsidRDefault="001748E2" w:rsidP="00844B0F">
            <w:pPr>
              <w:jc w:val="left"/>
              <w:rPr>
                <w:rFonts w:ascii="Times New Roman" w:hAnsi="Times New Roman" w:cs="Times New Roman"/>
                <w:sz w:val="20"/>
                <w:szCs w:val="20"/>
                <w:lang w:val="en-US"/>
              </w:rPr>
            </w:pPr>
            <w:r w:rsidRPr="002C03A8">
              <w:rPr>
                <w:rFonts w:ascii="Times New Roman" w:hAnsi="Times New Roman" w:cs="Times New Roman"/>
                <w:sz w:val="20"/>
                <w:szCs w:val="20"/>
                <w:lang w:val="en-US"/>
              </w:rPr>
              <w:t xml:space="preserve">Da Silva </w:t>
            </w:r>
            <w:r w:rsidRPr="002C03A8">
              <w:rPr>
                <w:rFonts w:ascii="Times New Roman" w:hAnsi="Times New Roman" w:cs="Times New Roman"/>
                <w:i/>
                <w:iCs/>
                <w:sz w:val="20"/>
                <w:szCs w:val="20"/>
                <w:lang w:val="en-US"/>
              </w:rPr>
              <w:t>et al</w:t>
            </w:r>
            <w:r w:rsidRPr="002C03A8">
              <w:rPr>
                <w:rFonts w:ascii="Times New Roman" w:hAnsi="Times New Roman" w:cs="Times New Roman"/>
                <w:sz w:val="20"/>
                <w:szCs w:val="20"/>
                <w:lang w:val="en-US"/>
              </w:rPr>
              <w:t>.</w:t>
            </w:r>
            <w:r w:rsidR="003A5409" w:rsidRPr="002C03A8">
              <w:rPr>
                <w:rFonts w:ascii="Times New Roman" w:hAnsi="Times New Roman" w:cs="Times New Roman"/>
                <w:sz w:val="20"/>
                <w:szCs w:val="20"/>
                <w:lang w:val="en-US"/>
              </w:rPr>
              <w:t xml:space="preserve"> </w:t>
            </w:r>
            <w:r w:rsidR="00BA6726" w:rsidRPr="002C03A8">
              <w:rPr>
                <w:rFonts w:ascii="Times New Roman" w:hAnsi="Times New Roman" w:cs="Times New Roman"/>
                <w:sz w:val="20"/>
                <w:szCs w:val="20"/>
                <w:lang w:val="en-US"/>
              </w:rPr>
              <w:t>(</w:t>
            </w:r>
            <w:r w:rsidRPr="002C03A8">
              <w:rPr>
                <w:rFonts w:ascii="Times New Roman" w:hAnsi="Times New Roman" w:cs="Times New Roman"/>
                <w:sz w:val="20"/>
                <w:szCs w:val="20"/>
                <w:lang w:val="en-US"/>
              </w:rPr>
              <w:t>2024)</w:t>
            </w:r>
          </w:p>
        </w:tc>
      </w:tr>
    </w:tbl>
    <w:p w14:paraId="70F3463C" w14:textId="19108674" w:rsidR="00383265" w:rsidRPr="00B07B0D" w:rsidRDefault="009026BC" w:rsidP="00F3669D">
      <w:pPr>
        <w:jc w:val="center"/>
        <w:rPr>
          <w:rFonts w:cstheme="minorBidi"/>
          <w:i/>
          <w:iCs/>
          <w:sz w:val="20"/>
          <w:szCs w:val="20"/>
          <w:lang w:val="en-US"/>
        </w:rPr>
      </w:pPr>
      <w:r w:rsidRPr="00B07B0D">
        <w:rPr>
          <w:rFonts w:cstheme="minorBidi"/>
          <w:i/>
          <w:iCs/>
          <w:sz w:val="20"/>
          <w:szCs w:val="20"/>
          <w:lang w:val="en-US"/>
        </w:rPr>
        <w:t>Source</w:t>
      </w:r>
      <w:r w:rsidRPr="009129DC">
        <w:rPr>
          <w:rFonts w:cstheme="minorBidi"/>
          <w:iCs/>
          <w:sz w:val="20"/>
          <w:szCs w:val="20"/>
          <w:lang w:val="en-US"/>
        </w:rPr>
        <w:t>: Authors’ own research</w:t>
      </w:r>
    </w:p>
    <w:p w14:paraId="7C71484E" w14:textId="77777777" w:rsidR="003664F4" w:rsidRPr="00B07B0D" w:rsidRDefault="003664F4" w:rsidP="006C0AA4">
      <w:pPr>
        <w:rPr>
          <w:rFonts w:cstheme="minorBidi"/>
          <w:i/>
          <w:iCs/>
          <w:sz w:val="20"/>
          <w:szCs w:val="20"/>
          <w:lang w:val="en-US"/>
        </w:rPr>
      </w:pPr>
    </w:p>
    <w:p w14:paraId="2DE565C6" w14:textId="2B1AB8F8" w:rsidR="003664F4" w:rsidRPr="00B07B0D" w:rsidRDefault="003664F4" w:rsidP="006C0AA4">
      <w:pPr>
        <w:rPr>
          <w:rFonts w:cstheme="minorBidi"/>
          <w:szCs w:val="22"/>
          <w:lang w:val="en-US"/>
        </w:rPr>
      </w:pPr>
      <w:r w:rsidRPr="00B07B0D">
        <w:rPr>
          <w:rFonts w:cstheme="minorBidi"/>
          <w:szCs w:val="22"/>
          <w:lang w:val="en-US"/>
        </w:rPr>
        <w:t xml:space="preserve">Therefore, the relationship between corporate governance mechanisms and financial performance was analyzed using a linear regression model, </w:t>
      </w:r>
      <w:r w:rsidR="00CA3600" w:rsidRPr="00B07B0D">
        <w:rPr>
          <w:rFonts w:cstheme="minorBidi"/>
          <w:szCs w:val="22"/>
          <w:lang w:val="en-US"/>
        </w:rPr>
        <w:t>performed</w:t>
      </w:r>
      <w:r w:rsidRPr="00B07B0D">
        <w:rPr>
          <w:rFonts w:cstheme="minorBidi"/>
          <w:szCs w:val="22"/>
          <w:lang w:val="en-US"/>
        </w:rPr>
        <w:t xml:space="preserve"> in the SPSS </w:t>
      </w:r>
      <w:r w:rsidR="006A437E" w:rsidRPr="00B07B0D">
        <w:rPr>
          <w:rFonts w:cstheme="minorBidi"/>
          <w:szCs w:val="22"/>
          <w:lang w:val="en-US"/>
        </w:rPr>
        <w:t>program</w:t>
      </w:r>
      <w:r w:rsidRPr="00B07B0D">
        <w:rPr>
          <w:rFonts w:cstheme="minorBidi"/>
          <w:szCs w:val="22"/>
          <w:lang w:val="en-US"/>
        </w:rPr>
        <w:t>, starting from the dependent variable EBITDA, the independent variables</w:t>
      </w:r>
      <w:r w:rsidR="00E24973" w:rsidRPr="00B07B0D">
        <w:rPr>
          <w:rFonts w:cstheme="minorBidi"/>
          <w:szCs w:val="22"/>
          <w:lang w:val="en-US"/>
        </w:rPr>
        <w:t xml:space="preserve">: </w:t>
      </w:r>
      <w:r w:rsidRPr="00B07B0D">
        <w:rPr>
          <w:rFonts w:cstheme="minorBidi"/>
          <w:szCs w:val="22"/>
          <w:lang w:val="en-US"/>
        </w:rPr>
        <w:t>Independent Board Members Score</w:t>
      </w:r>
      <w:r w:rsidR="00E24973" w:rsidRPr="00B07B0D">
        <w:rPr>
          <w:rFonts w:cstheme="minorBidi"/>
          <w:szCs w:val="22"/>
          <w:lang w:val="en-US"/>
        </w:rPr>
        <w:t xml:space="preserve"> </w:t>
      </w:r>
      <w:r w:rsidR="00E24973" w:rsidRPr="00B07B0D">
        <w:rPr>
          <w:rFonts w:cstheme="minorBidi"/>
          <w:szCs w:val="20"/>
          <w:lang w:val="en-US"/>
        </w:rPr>
        <w:t>(BD_IND)</w:t>
      </w:r>
      <w:r w:rsidRPr="00B07B0D">
        <w:rPr>
          <w:rFonts w:cstheme="minorBidi"/>
          <w:szCs w:val="22"/>
          <w:lang w:val="en-US"/>
        </w:rPr>
        <w:t xml:space="preserve">, </w:t>
      </w:r>
      <w:r w:rsidR="00E24973" w:rsidRPr="00B07B0D">
        <w:rPr>
          <w:rFonts w:cstheme="minorBidi"/>
          <w:szCs w:val="22"/>
          <w:lang w:val="en-US"/>
        </w:rPr>
        <w:t xml:space="preserve">Board Size </w:t>
      </w:r>
      <w:r w:rsidR="00E24973" w:rsidRPr="00B07B0D">
        <w:rPr>
          <w:rFonts w:cstheme="minorBidi"/>
          <w:szCs w:val="20"/>
          <w:lang w:val="en-US"/>
        </w:rPr>
        <w:t>(BD_IND)</w:t>
      </w:r>
      <w:r w:rsidR="00E24973" w:rsidRPr="00B07B0D">
        <w:rPr>
          <w:rFonts w:cstheme="minorBidi"/>
          <w:szCs w:val="22"/>
          <w:lang w:val="en-US"/>
        </w:rPr>
        <w:t xml:space="preserve">, </w:t>
      </w:r>
      <w:r w:rsidRPr="00B07B0D">
        <w:rPr>
          <w:rFonts w:cstheme="minorBidi"/>
          <w:szCs w:val="22"/>
          <w:lang w:val="en-US"/>
        </w:rPr>
        <w:t>Non-Executive Board Members Score</w:t>
      </w:r>
      <w:r w:rsidR="00E24973" w:rsidRPr="00B07B0D">
        <w:rPr>
          <w:rFonts w:cstheme="minorBidi"/>
          <w:szCs w:val="22"/>
          <w:lang w:val="en-US"/>
        </w:rPr>
        <w:t xml:space="preserve"> </w:t>
      </w:r>
      <w:r w:rsidR="00E24973" w:rsidRPr="00B07B0D">
        <w:rPr>
          <w:rFonts w:cstheme="minorBidi"/>
          <w:szCs w:val="20"/>
          <w:lang w:val="en-US"/>
        </w:rPr>
        <w:t>(NON_EXEC)</w:t>
      </w:r>
      <w:r w:rsidRPr="00B07B0D">
        <w:rPr>
          <w:rFonts w:cstheme="minorBidi"/>
          <w:szCs w:val="22"/>
          <w:lang w:val="en-US"/>
        </w:rPr>
        <w:t>,  Board Meeting Attendance Average</w:t>
      </w:r>
      <w:r w:rsidR="00E24973" w:rsidRPr="00B07B0D">
        <w:rPr>
          <w:rFonts w:cstheme="minorBidi"/>
          <w:szCs w:val="22"/>
          <w:lang w:val="en-US"/>
        </w:rPr>
        <w:t xml:space="preserve"> </w:t>
      </w:r>
      <w:r w:rsidR="00E24973" w:rsidRPr="00B07B0D">
        <w:rPr>
          <w:rFonts w:cstheme="minorBidi"/>
          <w:szCs w:val="20"/>
          <w:lang w:val="en-US"/>
        </w:rPr>
        <w:t>(BD_ATT)</w:t>
      </w:r>
      <w:r w:rsidRPr="00B07B0D">
        <w:rPr>
          <w:rFonts w:cstheme="minorBidi"/>
          <w:szCs w:val="22"/>
          <w:lang w:val="en-US"/>
        </w:rPr>
        <w:t>, Board Gender Diversity Score</w:t>
      </w:r>
      <w:r w:rsidR="00E24973" w:rsidRPr="00B07B0D">
        <w:rPr>
          <w:rFonts w:cstheme="minorBidi"/>
          <w:szCs w:val="22"/>
          <w:lang w:val="en-US"/>
        </w:rPr>
        <w:t xml:space="preserve"> </w:t>
      </w:r>
      <w:r w:rsidR="00E24973" w:rsidRPr="00B07B0D">
        <w:rPr>
          <w:rFonts w:cstheme="minorBidi"/>
          <w:szCs w:val="20"/>
          <w:lang w:val="en-US"/>
        </w:rPr>
        <w:t>(GEN_BD)</w:t>
      </w:r>
      <w:r w:rsidRPr="00B07B0D">
        <w:rPr>
          <w:rFonts w:cstheme="minorBidi"/>
          <w:szCs w:val="22"/>
          <w:lang w:val="en-US"/>
        </w:rPr>
        <w:t>, Executive Members Gender Diversity Percent</w:t>
      </w:r>
      <w:r w:rsidR="00E24973" w:rsidRPr="00B07B0D">
        <w:rPr>
          <w:rFonts w:cstheme="minorBidi"/>
          <w:szCs w:val="22"/>
          <w:lang w:val="en-US"/>
        </w:rPr>
        <w:t xml:space="preserve"> </w:t>
      </w:r>
      <w:r w:rsidR="00E24973" w:rsidRPr="00B07B0D">
        <w:rPr>
          <w:rFonts w:cstheme="minorBidi"/>
          <w:szCs w:val="20"/>
          <w:lang w:val="en-US"/>
        </w:rPr>
        <w:t>(GEN_EXEC)</w:t>
      </w:r>
      <w:r w:rsidRPr="00B07B0D">
        <w:rPr>
          <w:rFonts w:cstheme="minorBidi"/>
          <w:szCs w:val="22"/>
          <w:lang w:val="en-US"/>
        </w:rPr>
        <w:t>,  Audit Committee Expertise Score</w:t>
      </w:r>
      <w:r w:rsidR="00E24973" w:rsidRPr="00B07B0D">
        <w:rPr>
          <w:rFonts w:cstheme="minorBidi"/>
          <w:szCs w:val="22"/>
          <w:lang w:val="en-US"/>
        </w:rPr>
        <w:t xml:space="preserve"> </w:t>
      </w:r>
      <w:r w:rsidR="00E24973" w:rsidRPr="00B07B0D">
        <w:rPr>
          <w:rFonts w:cstheme="minorBidi"/>
          <w:szCs w:val="20"/>
          <w:lang w:val="en-US"/>
        </w:rPr>
        <w:t>(AUD_EXP)</w:t>
      </w:r>
      <w:r w:rsidRPr="00B07B0D">
        <w:rPr>
          <w:rFonts w:cstheme="minorBidi"/>
          <w:szCs w:val="22"/>
          <w:lang w:val="en-US"/>
        </w:rPr>
        <w:t xml:space="preserve">, </w:t>
      </w:r>
      <w:r w:rsidR="00E24973" w:rsidRPr="00B07B0D">
        <w:rPr>
          <w:rFonts w:cstheme="minorBidi"/>
          <w:szCs w:val="22"/>
          <w:lang w:val="en-US"/>
        </w:rPr>
        <w:t>Executive Independence of the Audit Committee (AUD_NONEX)</w:t>
      </w:r>
      <w:r w:rsidRPr="00B07B0D">
        <w:rPr>
          <w:rFonts w:cstheme="minorBidi"/>
          <w:szCs w:val="22"/>
          <w:lang w:val="en-US"/>
        </w:rPr>
        <w:t>, Audit Committee Independence Score</w:t>
      </w:r>
      <w:r w:rsidR="00E24973" w:rsidRPr="00B07B0D">
        <w:rPr>
          <w:rFonts w:cstheme="minorBidi"/>
          <w:szCs w:val="22"/>
          <w:lang w:val="en-US"/>
        </w:rPr>
        <w:t xml:space="preserve"> </w:t>
      </w:r>
      <w:r w:rsidR="00E24973" w:rsidRPr="00B07B0D">
        <w:rPr>
          <w:rFonts w:cstheme="minorBidi"/>
          <w:szCs w:val="20"/>
          <w:lang w:val="en-US"/>
        </w:rPr>
        <w:t>(AUD_IND)</w:t>
      </w:r>
      <w:r w:rsidRPr="00B07B0D">
        <w:rPr>
          <w:rFonts w:cstheme="minorBidi"/>
          <w:szCs w:val="22"/>
          <w:lang w:val="en-US"/>
        </w:rPr>
        <w:t>, Internal Audit Department Reporting Score</w:t>
      </w:r>
      <w:r w:rsidR="00E24973" w:rsidRPr="00B07B0D">
        <w:rPr>
          <w:rFonts w:cstheme="minorBidi"/>
          <w:szCs w:val="22"/>
          <w:lang w:val="en-US"/>
        </w:rPr>
        <w:t xml:space="preserve"> </w:t>
      </w:r>
      <w:r w:rsidR="00E24973" w:rsidRPr="00B07B0D">
        <w:rPr>
          <w:rFonts w:cstheme="minorBidi"/>
          <w:szCs w:val="20"/>
          <w:lang w:val="en-US"/>
        </w:rPr>
        <w:t>(INT_AUD)</w:t>
      </w:r>
      <w:r w:rsidRPr="00B07B0D">
        <w:rPr>
          <w:rFonts w:cstheme="minorBidi"/>
          <w:szCs w:val="22"/>
          <w:lang w:val="en-US"/>
        </w:rPr>
        <w:t xml:space="preserve"> and the control variable (Total Assets – Actual)</w:t>
      </w:r>
      <w:r w:rsidR="00E24973" w:rsidRPr="00B07B0D">
        <w:rPr>
          <w:rFonts w:cstheme="minorBidi"/>
          <w:szCs w:val="22"/>
          <w:lang w:val="en-US"/>
        </w:rPr>
        <w:t xml:space="preserve"> </w:t>
      </w:r>
      <w:r w:rsidR="00E24973" w:rsidRPr="00B07B0D">
        <w:rPr>
          <w:rFonts w:cstheme="minorBidi"/>
          <w:szCs w:val="20"/>
          <w:lang w:val="en-US"/>
        </w:rPr>
        <w:t xml:space="preserve">(SIZE). </w:t>
      </w:r>
    </w:p>
    <w:p w14:paraId="070D50B4" w14:textId="77777777" w:rsidR="0097228E" w:rsidRPr="00B07B0D" w:rsidRDefault="0097228E" w:rsidP="006C0AA4">
      <w:pPr>
        <w:rPr>
          <w:rFonts w:cstheme="minorBidi"/>
          <w:szCs w:val="22"/>
          <w:lang w:val="en-US"/>
        </w:rPr>
      </w:pPr>
    </w:p>
    <w:p w14:paraId="08136F5B" w14:textId="77777777" w:rsidR="00506516" w:rsidRPr="00B07B0D" w:rsidRDefault="0097228E" w:rsidP="0097228E">
      <w:pPr>
        <w:rPr>
          <w:rFonts w:cstheme="minorBidi"/>
          <w:szCs w:val="22"/>
          <w:lang w:val="en-US"/>
        </w:rPr>
      </w:pPr>
      <w:r w:rsidRPr="00B07B0D">
        <w:rPr>
          <w:rFonts w:cstheme="minorBidi"/>
          <w:szCs w:val="22"/>
          <w:lang w:val="en-US"/>
        </w:rPr>
        <w:t xml:space="preserve">The linear regression model is of the form: </w:t>
      </w:r>
    </w:p>
    <w:p w14:paraId="2441D300" w14:textId="5CEFE452" w:rsidR="004C051F" w:rsidRPr="00B07B0D" w:rsidRDefault="004C051F" w:rsidP="00506516">
      <w:pPr>
        <w:jc w:val="center"/>
        <w:rPr>
          <w:rFonts w:cstheme="minorBidi"/>
          <w:i/>
          <w:iCs/>
          <w:szCs w:val="22"/>
          <w:lang w:val="en-US"/>
        </w:rPr>
      </w:pPr>
      <w:proofErr w:type="spellStart"/>
      <w:r w:rsidRPr="00B07B0D">
        <w:rPr>
          <w:rFonts w:cstheme="minorBidi"/>
          <w:i/>
          <w:iCs/>
          <w:sz w:val="20"/>
          <w:szCs w:val="20"/>
          <w:lang w:val="en-US"/>
        </w:rPr>
        <w:t>EBITDA</w:t>
      </w:r>
      <w:r w:rsidRPr="00B07B0D">
        <w:rPr>
          <w:rFonts w:cstheme="minorBidi"/>
          <w:i/>
          <w:iCs/>
          <w:szCs w:val="22"/>
          <w:vertAlign w:val="subscript"/>
          <w:lang w:val="en-US"/>
        </w:rPr>
        <w:t>i</w:t>
      </w:r>
      <w:proofErr w:type="spellEnd"/>
      <w:r w:rsidRPr="00B07B0D">
        <w:rPr>
          <w:rFonts w:cstheme="minorBidi"/>
          <w:i/>
          <w:iCs/>
          <w:szCs w:val="22"/>
          <w:lang w:val="en-US"/>
        </w:rPr>
        <w:t xml:space="preserve"> = </w:t>
      </w:r>
      <w:r w:rsidR="0097228E" w:rsidRPr="00B07B0D">
        <w:rPr>
          <w:rFonts w:cstheme="minorBidi"/>
          <w:i/>
          <w:iCs/>
          <w:szCs w:val="22"/>
          <w:lang w:val="en-US"/>
        </w:rPr>
        <w:t>β</w:t>
      </w:r>
      <w:r w:rsidR="0097228E" w:rsidRPr="00B07B0D">
        <w:rPr>
          <w:rFonts w:cstheme="minorBidi"/>
          <w:i/>
          <w:iCs/>
          <w:szCs w:val="22"/>
          <w:vertAlign w:val="subscript"/>
          <w:lang w:val="en-US"/>
        </w:rPr>
        <w:t>0</w:t>
      </w:r>
      <w:r w:rsidR="0097228E" w:rsidRPr="00B07B0D">
        <w:rPr>
          <w:rFonts w:cstheme="minorBidi"/>
          <w:i/>
          <w:iCs/>
          <w:szCs w:val="22"/>
          <w:lang w:val="en-US"/>
        </w:rPr>
        <w:t xml:space="preserve"> +</w:t>
      </w:r>
      <w:r w:rsidRPr="00B07B0D">
        <w:rPr>
          <w:rFonts w:cstheme="minorBidi"/>
          <w:i/>
          <w:iCs/>
          <w:szCs w:val="22"/>
          <w:lang w:val="en-US"/>
        </w:rPr>
        <w:t xml:space="preserve"> Β</w:t>
      </w:r>
      <w:r w:rsidRPr="00B07B0D">
        <w:rPr>
          <w:rFonts w:cstheme="minorBidi"/>
          <w:i/>
          <w:iCs/>
          <w:szCs w:val="22"/>
          <w:vertAlign w:val="subscript"/>
          <w:lang w:val="en-US"/>
        </w:rPr>
        <w:t>1</w:t>
      </w:r>
      <w:r w:rsidRPr="00B07B0D">
        <w:rPr>
          <w:rFonts w:cstheme="minorBidi"/>
          <w:i/>
          <w:iCs/>
          <w:sz w:val="20"/>
          <w:szCs w:val="20"/>
          <w:lang w:val="en-US"/>
        </w:rPr>
        <w:t>BD_IND</w:t>
      </w:r>
      <w:r w:rsidRPr="00B07B0D">
        <w:rPr>
          <w:rFonts w:cstheme="minorBidi"/>
          <w:i/>
          <w:iCs/>
          <w:sz w:val="20"/>
          <w:szCs w:val="20"/>
          <w:vertAlign w:val="subscript"/>
          <w:lang w:val="en-US"/>
        </w:rPr>
        <w:t>i</w:t>
      </w:r>
      <w:r w:rsidRPr="00B07B0D">
        <w:rPr>
          <w:rFonts w:cstheme="minorBidi"/>
          <w:i/>
          <w:iCs/>
          <w:sz w:val="20"/>
          <w:szCs w:val="20"/>
          <w:lang w:val="en-US"/>
        </w:rPr>
        <w:t xml:space="preserve"> + </w:t>
      </w:r>
      <w:r w:rsidR="0097228E" w:rsidRPr="00B07B0D">
        <w:rPr>
          <w:rFonts w:cstheme="minorBidi"/>
          <w:i/>
          <w:iCs/>
          <w:szCs w:val="22"/>
          <w:lang w:val="en-US"/>
        </w:rPr>
        <w:t>β</w:t>
      </w:r>
      <w:r w:rsidR="0097228E" w:rsidRPr="00B07B0D">
        <w:rPr>
          <w:rFonts w:cstheme="minorBidi"/>
          <w:i/>
          <w:iCs/>
          <w:szCs w:val="22"/>
          <w:vertAlign w:val="subscript"/>
          <w:lang w:val="en-US"/>
        </w:rPr>
        <w:t>2</w:t>
      </w:r>
      <w:r w:rsidR="00933BB2" w:rsidRPr="00B07B0D">
        <w:rPr>
          <w:rFonts w:cstheme="minorBidi"/>
          <w:i/>
          <w:iCs/>
          <w:sz w:val="20"/>
          <w:szCs w:val="20"/>
          <w:lang w:val="en-US"/>
        </w:rPr>
        <w:t>BD_SIZE</w:t>
      </w:r>
      <w:r w:rsidR="00933BB2" w:rsidRPr="00B07B0D">
        <w:rPr>
          <w:rFonts w:cstheme="minorBidi"/>
          <w:i/>
          <w:iCs/>
          <w:sz w:val="20"/>
          <w:szCs w:val="20"/>
          <w:vertAlign w:val="subscript"/>
          <w:lang w:val="en-US"/>
        </w:rPr>
        <w:t>i</w:t>
      </w:r>
      <w:r w:rsidR="00933BB2" w:rsidRPr="00B07B0D">
        <w:rPr>
          <w:rFonts w:cstheme="minorBidi"/>
          <w:i/>
          <w:iCs/>
          <w:szCs w:val="22"/>
          <w:lang w:val="en-US"/>
        </w:rPr>
        <w:t xml:space="preserve"> + </w:t>
      </w:r>
      <w:r w:rsidR="0097228E" w:rsidRPr="00B07B0D">
        <w:rPr>
          <w:rFonts w:cstheme="minorBidi"/>
          <w:i/>
          <w:iCs/>
          <w:szCs w:val="22"/>
          <w:lang w:val="en-US"/>
        </w:rPr>
        <w:t>β</w:t>
      </w:r>
      <w:r w:rsidR="0097228E" w:rsidRPr="00B07B0D">
        <w:rPr>
          <w:rFonts w:cstheme="minorBidi"/>
          <w:i/>
          <w:iCs/>
          <w:szCs w:val="22"/>
          <w:vertAlign w:val="subscript"/>
          <w:lang w:val="en-US"/>
        </w:rPr>
        <w:t>3</w:t>
      </w:r>
      <w:r w:rsidR="00933BB2" w:rsidRPr="00B07B0D">
        <w:rPr>
          <w:rFonts w:cstheme="minorBidi"/>
          <w:i/>
          <w:iCs/>
          <w:sz w:val="20"/>
          <w:szCs w:val="20"/>
          <w:lang w:val="en-US"/>
        </w:rPr>
        <w:t>NON_EXEC</w:t>
      </w:r>
      <w:r w:rsidR="00933BB2" w:rsidRPr="00B07B0D">
        <w:rPr>
          <w:rFonts w:cstheme="minorBidi"/>
          <w:i/>
          <w:iCs/>
          <w:sz w:val="20"/>
          <w:szCs w:val="20"/>
          <w:vertAlign w:val="subscript"/>
          <w:lang w:val="en-US"/>
        </w:rPr>
        <w:t>i</w:t>
      </w:r>
      <w:r w:rsidR="00933BB2" w:rsidRPr="00B07B0D">
        <w:rPr>
          <w:rFonts w:cstheme="minorBidi"/>
          <w:i/>
          <w:iCs/>
          <w:szCs w:val="22"/>
          <w:lang w:val="en-US"/>
        </w:rPr>
        <w:t xml:space="preserve"> + </w:t>
      </w:r>
      <w:r w:rsidR="0097228E" w:rsidRPr="00B07B0D">
        <w:rPr>
          <w:rFonts w:cstheme="minorBidi"/>
          <w:i/>
          <w:iCs/>
          <w:szCs w:val="22"/>
          <w:lang w:val="en-US"/>
        </w:rPr>
        <w:t>β</w:t>
      </w:r>
      <w:r w:rsidRPr="00B07B0D">
        <w:rPr>
          <w:rFonts w:cstheme="minorBidi"/>
          <w:i/>
          <w:iCs/>
          <w:szCs w:val="22"/>
          <w:vertAlign w:val="subscript"/>
          <w:lang w:val="en-US"/>
        </w:rPr>
        <w:t>4</w:t>
      </w:r>
      <w:r w:rsidR="00933BB2" w:rsidRPr="00B07B0D">
        <w:rPr>
          <w:rFonts w:cstheme="minorBidi"/>
          <w:i/>
          <w:iCs/>
          <w:sz w:val="20"/>
          <w:szCs w:val="20"/>
          <w:lang w:val="en-US"/>
        </w:rPr>
        <w:t>BD_ATT</w:t>
      </w:r>
      <w:r w:rsidR="00933BB2" w:rsidRPr="00B07B0D">
        <w:rPr>
          <w:rFonts w:cstheme="minorBidi"/>
          <w:i/>
          <w:iCs/>
          <w:sz w:val="20"/>
          <w:szCs w:val="20"/>
          <w:vertAlign w:val="subscript"/>
          <w:lang w:val="en-US"/>
        </w:rPr>
        <w:t>i</w:t>
      </w:r>
      <w:r w:rsidR="00933BB2" w:rsidRPr="00B07B0D">
        <w:rPr>
          <w:rFonts w:cstheme="minorBidi"/>
          <w:i/>
          <w:iCs/>
          <w:szCs w:val="22"/>
          <w:lang w:val="en-US"/>
        </w:rPr>
        <w:t xml:space="preserve"> + </w:t>
      </w:r>
      <w:r w:rsidRPr="00B07B0D">
        <w:rPr>
          <w:rFonts w:cstheme="minorBidi"/>
          <w:i/>
          <w:iCs/>
          <w:szCs w:val="22"/>
          <w:lang w:val="en-US"/>
        </w:rPr>
        <w:t>β</w:t>
      </w:r>
      <w:r w:rsidRPr="00B07B0D">
        <w:rPr>
          <w:rFonts w:cstheme="minorBidi"/>
          <w:i/>
          <w:iCs/>
          <w:szCs w:val="22"/>
          <w:vertAlign w:val="subscript"/>
          <w:lang w:val="en-US"/>
        </w:rPr>
        <w:t>5</w:t>
      </w:r>
      <w:r w:rsidR="00933BB2" w:rsidRPr="00B07B0D">
        <w:rPr>
          <w:rFonts w:cstheme="minorBidi"/>
          <w:i/>
          <w:iCs/>
          <w:sz w:val="20"/>
          <w:szCs w:val="20"/>
          <w:lang w:val="en-US"/>
        </w:rPr>
        <w:t>GEN_BD</w:t>
      </w:r>
      <w:r w:rsidR="00933BB2" w:rsidRPr="00B07B0D">
        <w:rPr>
          <w:rFonts w:cstheme="minorBidi"/>
          <w:i/>
          <w:iCs/>
          <w:sz w:val="20"/>
          <w:szCs w:val="20"/>
          <w:vertAlign w:val="subscript"/>
          <w:lang w:val="en-US"/>
        </w:rPr>
        <w:t>i</w:t>
      </w:r>
      <w:r w:rsidR="00933BB2" w:rsidRPr="00B07B0D">
        <w:rPr>
          <w:rFonts w:cstheme="minorBidi"/>
          <w:i/>
          <w:iCs/>
          <w:szCs w:val="22"/>
          <w:lang w:val="en-US"/>
        </w:rPr>
        <w:t xml:space="preserve"> + </w:t>
      </w:r>
      <w:r w:rsidRPr="00B07B0D">
        <w:rPr>
          <w:rFonts w:cstheme="minorBidi"/>
          <w:i/>
          <w:iCs/>
          <w:szCs w:val="22"/>
          <w:lang w:val="en-US"/>
        </w:rPr>
        <w:t>β</w:t>
      </w:r>
      <w:r w:rsidRPr="00B07B0D">
        <w:rPr>
          <w:rFonts w:cstheme="minorBidi"/>
          <w:i/>
          <w:iCs/>
          <w:szCs w:val="22"/>
          <w:vertAlign w:val="subscript"/>
          <w:lang w:val="en-US"/>
        </w:rPr>
        <w:t>6</w:t>
      </w:r>
      <w:r w:rsidR="00933BB2" w:rsidRPr="00B07B0D">
        <w:rPr>
          <w:rFonts w:cstheme="minorBidi"/>
          <w:i/>
          <w:iCs/>
          <w:sz w:val="20"/>
          <w:szCs w:val="20"/>
          <w:lang w:val="en-US"/>
        </w:rPr>
        <w:t>GEN_EXEC</w:t>
      </w:r>
      <w:r w:rsidR="00933BB2" w:rsidRPr="00B07B0D">
        <w:rPr>
          <w:rFonts w:cstheme="minorBidi"/>
          <w:i/>
          <w:iCs/>
          <w:sz w:val="20"/>
          <w:szCs w:val="20"/>
          <w:vertAlign w:val="subscript"/>
          <w:lang w:val="en-US"/>
        </w:rPr>
        <w:t>i</w:t>
      </w:r>
      <w:r w:rsidR="00933BB2" w:rsidRPr="00B07B0D">
        <w:rPr>
          <w:rFonts w:cstheme="minorBidi"/>
          <w:i/>
          <w:iCs/>
          <w:szCs w:val="22"/>
          <w:lang w:val="en-US"/>
        </w:rPr>
        <w:t xml:space="preserve"> + </w:t>
      </w:r>
      <w:r w:rsidRPr="00B07B0D">
        <w:rPr>
          <w:rFonts w:cstheme="minorBidi"/>
          <w:i/>
          <w:iCs/>
          <w:szCs w:val="22"/>
          <w:lang w:val="en-US"/>
        </w:rPr>
        <w:t>β</w:t>
      </w:r>
      <w:r w:rsidRPr="00B07B0D">
        <w:rPr>
          <w:rFonts w:cstheme="minorBidi"/>
          <w:i/>
          <w:iCs/>
          <w:szCs w:val="22"/>
          <w:vertAlign w:val="subscript"/>
          <w:lang w:val="en-US"/>
        </w:rPr>
        <w:t>7</w:t>
      </w:r>
      <w:r w:rsidR="00933BB2" w:rsidRPr="00B07B0D">
        <w:rPr>
          <w:rFonts w:cstheme="minorBidi"/>
          <w:i/>
          <w:iCs/>
          <w:sz w:val="20"/>
          <w:szCs w:val="20"/>
          <w:lang w:val="en-US"/>
        </w:rPr>
        <w:t>AUD_EXP</w:t>
      </w:r>
      <w:r w:rsidR="00933BB2" w:rsidRPr="00B07B0D">
        <w:rPr>
          <w:rFonts w:cstheme="minorBidi"/>
          <w:i/>
          <w:iCs/>
          <w:sz w:val="20"/>
          <w:szCs w:val="20"/>
          <w:vertAlign w:val="subscript"/>
          <w:lang w:val="en-US"/>
        </w:rPr>
        <w:t>i</w:t>
      </w:r>
      <w:r w:rsidR="00933BB2" w:rsidRPr="00B07B0D">
        <w:rPr>
          <w:rFonts w:cstheme="minorBidi"/>
          <w:i/>
          <w:iCs/>
          <w:szCs w:val="22"/>
          <w:lang w:val="en-US"/>
        </w:rPr>
        <w:t xml:space="preserve"> + </w:t>
      </w:r>
      <w:r w:rsidRPr="00B07B0D">
        <w:rPr>
          <w:rFonts w:cstheme="minorBidi"/>
          <w:i/>
          <w:iCs/>
          <w:szCs w:val="22"/>
          <w:lang w:val="en-US"/>
        </w:rPr>
        <w:t>β</w:t>
      </w:r>
      <w:r w:rsidRPr="00B07B0D">
        <w:rPr>
          <w:rFonts w:cstheme="minorBidi"/>
          <w:i/>
          <w:iCs/>
          <w:szCs w:val="22"/>
          <w:vertAlign w:val="subscript"/>
          <w:lang w:val="en-US"/>
        </w:rPr>
        <w:t>8</w:t>
      </w:r>
      <w:r w:rsidR="00933BB2" w:rsidRPr="00B07B0D">
        <w:rPr>
          <w:rFonts w:cstheme="minorBidi"/>
          <w:i/>
          <w:iCs/>
          <w:sz w:val="20"/>
          <w:szCs w:val="20"/>
          <w:lang w:val="en-US"/>
        </w:rPr>
        <w:t>AUD_NONEX</w:t>
      </w:r>
      <w:r w:rsidR="00933BB2" w:rsidRPr="00B07B0D">
        <w:rPr>
          <w:rFonts w:cstheme="minorBidi"/>
          <w:i/>
          <w:iCs/>
          <w:sz w:val="20"/>
          <w:szCs w:val="20"/>
          <w:vertAlign w:val="subscript"/>
          <w:lang w:val="en-US"/>
        </w:rPr>
        <w:t>i</w:t>
      </w:r>
      <w:r w:rsidR="00933BB2" w:rsidRPr="00B07B0D">
        <w:rPr>
          <w:rFonts w:cstheme="minorBidi"/>
          <w:i/>
          <w:iCs/>
          <w:szCs w:val="22"/>
          <w:lang w:val="en-US"/>
        </w:rPr>
        <w:t xml:space="preserve"> + </w:t>
      </w:r>
      <w:r w:rsidRPr="00B07B0D">
        <w:rPr>
          <w:rFonts w:cstheme="minorBidi"/>
          <w:i/>
          <w:iCs/>
          <w:szCs w:val="22"/>
          <w:lang w:val="en-US"/>
        </w:rPr>
        <w:t>β</w:t>
      </w:r>
      <w:r w:rsidRPr="00B07B0D">
        <w:rPr>
          <w:rFonts w:cstheme="minorBidi"/>
          <w:i/>
          <w:iCs/>
          <w:szCs w:val="22"/>
          <w:vertAlign w:val="subscript"/>
          <w:lang w:val="en-US"/>
        </w:rPr>
        <w:t>9</w:t>
      </w:r>
      <w:r w:rsidR="00933BB2" w:rsidRPr="00B07B0D">
        <w:rPr>
          <w:rFonts w:cstheme="minorBidi"/>
          <w:i/>
          <w:iCs/>
          <w:sz w:val="20"/>
          <w:szCs w:val="20"/>
          <w:lang w:val="en-US"/>
        </w:rPr>
        <w:t>AUD_IND</w:t>
      </w:r>
      <w:r w:rsidR="00933BB2" w:rsidRPr="00B07B0D">
        <w:rPr>
          <w:rFonts w:cstheme="minorBidi"/>
          <w:i/>
          <w:iCs/>
          <w:sz w:val="20"/>
          <w:szCs w:val="20"/>
          <w:vertAlign w:val="subscript"/>
          <w:lang w:val="en-US"/>
        </w:rPr>
        <w:t>i</w:t>
      </w:r>
      <w:r w:rsidR="00933BB2" w:rsidRPr="00B07B0D">
        <w:rPr>
          <w:rFonts w:cstheme="minorBidi"/>
          <w:i/>
          <w:iCs/>
          <w:szCs w:val="22"/>
          <w:lang w:val="en-US"/>
        </w:rPr>
        <w:t xml:space="preserve"> + </w:t>
      </w:r>
      <w:r w:rsidRPr="00B07B0D">
        <w:rPr>
          <w:rFonts w:cstheme="minorBidi"/>
          <w:i/>
          <w:iCs/>
          <w:szCs w:val="22"/>
          <w:lang w:val="en-US"/>
        </w:rPr>
        <w:t>β</w:t>
      </w:r>
      <w:r w:rsidRPr="00B07B0D">
        <w:rPr>
          <w:rFonts w:cstheme="minorBidi"/>
          <w:i/>
          <w:iCs/>
          <w:szCs w:val="22"/>
          <w:vertAlign w:val="subscript"/>
          <w:lang w:val="en-US"/>
        </w:rPr>
        <w:t>10</w:t>
      </w:r>
      <w:r w:rsidR="00933BB2" w:rsidRPr="00B07B0D">
        <w:rPr>
          <w:rFonts w:cstheme="minorBidi"/>
          <w:i/>
          <w:iCs/>
          <w:sz w:val="20"/>
          <w:szCs w:val="20"/>
          <w:lang w:val="en-US"/>
        </w:rPr>
        <w:t xml:space="preserve"> </w:t>
      </w:r>
      <w:proofErr w:type="spellStart"/>
      <w:r w:rsidR="00933BB2" w:rsidRPr="00B07B0D">
        <w:rPr>
          <w:rFonts w:cstheme="minorBidi"/>
          <w:i/>
          <w:iCs/>
          <w:sz w:val="20"/>
          <w:szCs w:val="20"/>
          <w:lang w:val="en-US"/>
        </w:rPr>
        <w:t>INT_AUD</w:t>
      </w:r>
      <w:r w:rsidR="00933BB2" w:rsidRPr="00B07B0D">
        <w:rPr>
          <w:rFonts w:cstheme="minorBidi"/>
          <w:i/>
          <w:iCs/>
          <w:sz w:val="20"/>
          <w:szCs w:val="20"/>
          <w:vertAlign w:val="subscript"/>
          <w:lang w:val="en-US"/>
        </w:rPr>
        <w:t>i</w:t>
      </w:r>
      <w:proofErr w:type="spellEnd"/>
      <w:r w:rsidR="00933BB2" w:rsidRPr="00B07B0D">
        <w:rPr>
          <w:rFonts w:cstheme="minorBidi"/>
          <w:i/>
          <w:iCs/>
          <w:szCs w:val="22"/>
          <w:lang w:val="en-US"/>
        </w:rPr>
        <w:t xml:space="preserve"> + </w:t>
      </w:r>
      <w:r w:rsidRPr="00B07B0D">
        <w:rPr>
          <w:rFonts w:cstheme="minorBidi"/>
          <w:i/>
          <w:iCs/>
          <w:szCs w:val="22"/>
          <w:lang w:val="en-US"/>
        </w:rPr>
        <w:t>β</w:t>
      </w:r>
      <w:r w:rsidRPr="00B07B0D">
        <w:rPr>
          <w:rFonts w:cstheme="minorBidi"/>
          <w:i/>
          <w:iCs/>
          <w:szCs w:val="22"/>
          <w:vertAlign w:val="subscript"/>
          <w:lang w:val="en-US"/>
        </w:rPr>
        <w:t>11</w:t>
      </w:r>
      <w:r w:rsidR="00933BB2" w:rsidRPr="00B07B0D">
        <w:rPr>
          <w:rFonts w:cstheme="minorBidi"/>
          <w:i/>
          <w:iCs/>
          <w:sz w:val="20"/>
          <w:szCs w:val="20"/>
          <w:lang w:val="en-US"/>
        </w:rPr>
        <w:t>SIZE</w:t>
      </w:r>
      <w:r w:rsidR="00933BB2" w:rsidRPr="00B07B0D">
        <w:rPr>
          <w:rFonts w:cstheme="minorBidi"/>
          <w:i/>
          <w:iCs/>
          <w:sz w:val="20"/>
          <w:szCs w:val="20"/>
          <w:vertAlign w:val="subscript"/>
          <w:lang w:val="en-US"/>
        </w:rPr>
        <w:t>i</w:t>
      </w:r>
      <w:r w:rsidR="00933BB2" w:rsidRPr="00B07B0D">
        <w:rPr>
          <w:rFonts w:cstheme="minorBidi"/>
          <w:i/>
          <w:iCs/>
          <w:szCs w:val="22"/>
          <w:lang w:val="en-US"/>
        </w:rPr>
        <w:t xml:space="preserve"> + </w:t>
      </w:r>
      <w:proofErr w:type="spellStart"/>
      <w:r w:rsidR="0097228E" w:rsidRPr="00B07B0D">
        <w:rPr>
          <w:rFonts w:cstheme="minorBidi"/>
          <w:i/>
          <w:iCs/>
          <w:szCs w:val="22"/>
          <w:lang w:val="en-US"/>
        </w:rPr>
        <w:t>ε</w:t>
      </w:r>
      <w:r w:rsidR="00933BB2" w:rsidRPr="00B07B0D">
        <w:rPr>
          <w:rFonts w:cstheme="minorBidi"/>
          <w:i/>
          <w:iCs/>
          <w:sz w:val="20"/>
          <w:szCs w:val="20"/>
          <w:vertAlign w:val="subscript"/>
          <w:lang w:val="en-US"/>
        </w:rPr>
        <w:t>i</w:t>
      </w:r>
      <w:proofErr w:type="spellEnd"/>
    </w:p>
    <w:p w14:paraId="544A0C5D" w14:textId="77777777" w:rsidR="004C051F" w:rsidRPr="00B07B0D" w:rsidRDefault="004C051F" w:rsidP="0097228E">
      <w:pPr>
        <w:rPr>
          <w:rFonts w:cstheme="minorBidi"/>
          <w:szCs w:val="22"/>
          <w:lang w:val="en-US"/>
        </w:rPr>
      </w:pPr>
    </w:p>
    <w:p w14:paraId="03B9CCDD" w14:textId="77777777" w:rsidR="0097228E" w:rsidRPr="00B07B0D" w:rsidRDefault="0097228E" w:rsidP="0097228E">
      <w:pPr>
        <w:rPr>
          <w:rFonts w:cstheme="minorBidi"/>
          <w:szCs w:val="22"/>
          <w:lang w:val="en-US"/>
        </w:rPr>
      </w:pPr>
      <w:r w:rsidRPr="00B07B0D">
        <w:rPr>
          <w:rFonts w:cstheme="minorBidi"/>
          <w:szCs w:val="22"/>
          <w:lang w:val="en-US"/>
        </w:rPr>
        <w:t>Where:</w:t>
      </w:r>
    </w:p>
    <w:p w14:paraId="09F4FB2D" w14:textId="4A02D0EC" w:rsidR="0097228E" w:rsidRPr="00B07B0D" w:rsidRDefault="00933BB2">
      <w:pPr>
        <w:pStyle w:val="ListParagraph"/>
        <w:numPr>
          <w:ilvl w:val="0"/>
          <w:numId w:val="5"/>
        </w:numPr>
        <w:rPr>
          <w:rFonts w:cstheme="minorBidi"/>
          <w:szCs w:val="22"/>
          <w:lang w:val="en-US"/>
        </w:rPr>
      </w:pPr>
      <w:proofErr w:type="spellStart"/>
      <w:r w:rsidRPr="00B07B0D">
        <w:rPr>
          <w:rFonts w:cstheme="minorBidi"/>
          <w:sz w:val="20"/>
          <w:szCs w:val="20"/>
          <w:lang w:val="en-US"/>
        </w:rPr>
        <w:t>EBITDA</w:t>
      </w:r>
      <w:r w:rsidRPr="00B07B0D">
        <w:rPr>
          <w:rFonts w:cstheme="minorBidi"/>
          <w:szCs w:val="22"/>
          <w:vertAlign w:val="subscript"/>
          <w:lang w:val="en-US"/>
        </w:rPr>
        <w:t>i</w:t>
      </w:r>
      <w:proofErr w:type="spellEnd"/>
      <w:r w:rsidRPr="00B07B0D">
        <w:rPr>
          <w:rFonts w:cstheme="minorBidi"/>
          <w:szCs w:val="22"/>
          <w:lang w:val="en-US"/>
        </w:rPr>
        <w:t xml:space="preserve"> </w:t>
      </w:r>
      <w:r w:rsidR="0097228E" w:rsidRPr="00B07B0D">
        <w:rPr>
          <w:rFonts w:cstheme="minorBidi"/>
          <w:szCs w:val="22"/>
          <w:lang w:val="en-US"/>
        </w:rPr>
        <w:t>=</w:t>
      </w:r>
      <w:r w:rsidRPr="00B07B0D">
        <w:rPr>
          <w:lang w:val="en-US"/>
        </w:rPr>
        <w:t xml:space="preserve"> </w:t>
      </w:r>
      <w:r w:rsidRPr="00B07B0D">
        <w:rPr>
          <w:rFonts w:cstheme="minorBidi"/>
          <w:szCs w:val="22"/>
          <w:lang w:val="en-US"/>
        </w:rPr>
        <w:t xml:space="preserve">Dependent variable (EBITDA) for observation </w:t>
      </w:r>
      <w:proofErr w:type="spellStart"/>
      <w:r w:rsidRPr="00B07B0D">
        <w:rPr>
          <w:rFonts w:cstheme="minorBidi"/>
          <w:szCs w:val="22"/>
          <w:lang w:val="en-US"/>
        </w:rPr>
        <w:t>i</w:t>
      </w:r>
      <w:proofErr w:type="spellEnd"/>
      <w:r w:rsidR="0046760E" w:rsidRPr="00B07B0D">
        <w:rPr>
          <w:rFonts w:cstheme="minorBidi"/>
          <w:szCs w:val="22"/>
          <w:lang w:val="en-US"/>
        </w:rPr>
        <w:t>;</w:t>
      </w:r>
    </w:p>
    <w:p w14:paraId="1654AC5D" w14:textId="38435351" w:rsidR="0097228E" w:rsidRPr="00B07B0D" w:rsidRDefault="0097228E">
      <w:pPr>
        <w:pStyle w:val="ListParagraph"/>
        <w:numPr>
          <w:ilvl w:val="0"/>
          <w:numId w:val="5"/>
        </w:numPr>
        <w:rPr>
          <w:rFonts w:cstheme="minorBidi"/>
          <w:szCs w:val="22"/>
          <w:lang w:val="en-US"/>
        </w:rPr>
      </w:pPr>
      <w:r w:rsidRPr="00B07B0D">
        <w:rPr>
          <w:rFonts w:cstheme="minorBidi"/>
          <w:szCs w:val="22"/>
          <w:lang w:val="en-US"/>
        </w:rPr>
        <w:t xml:space="preserve">β0 = </w:t>
      </w:r>
      <w:r w:rsidR="00933BB2" w:rsidRPr="00B07B0D">
        <w:rPr>
          <w:rFonts w:cstheme="minorBidi"/>
          <w:szCs w:val="22"/>
          <w:lang w:val="en-US"/>
        </w:rPr>
        <w:t>Model constant (intercept)</w:t>
      </w:r>
      <w:r w:rsidR="0046760E" w:rsidRPr="00B07B0D">
        <w:rPr>
          <w:rFonts w:cstheme="minorBidi"/>
          <w:szCs w:val="22"/>
          <w:lang w:val="en-US"/>
        </w:rPr>
        <w:t>;</w:t>
      </w:r>
    </w:p>
    <w:p w14:paraId="77718FA6" w14:textId="76857D5A" w:rsidR="00933BB2" w:rsidRPr="00B07B0D" w:rsidRDefault="0097228E">
      <w:pPr>
        <w:pStyle w:val="ListParagraph"/>
        <w:numPr>
          <w:ilvl w:val="0"/>
          <w:numId w:val="5"/>
        </w:numPr>
        <w:rPr>
          <w:rFonts w:cstheme="minorBidi"/>
          <w:szCs w:val="22"/>
          <w:lang w:val="en-US"/>
        </w:rPr>
      </w:pPr>
      <w:r w:rsidRPr="00B07B0D">
        <w:rPr>
          <w:rFonts w:cstheme="minorBidi"/>
          <w:szCs w:val="22"/>
          <w:lang w:val="en-US"/>
        </w:rPr>
        <w:t>β</w:t>
      </w:r>
      <w:r w:rsidRPr="00B07B0D">
        <w:rPr>
          <w:rFonts w:cstheme="minorBidi"/>
          <w:szCs w:val="22"/>
          <w:vertAlign w:val="subscript"/>
          <w:lang w:val="en-US"/>
        </w:rPr>
        <w:t>1</w:t>
      </w:r>
      <w:r w:rsidRPr="00B07B0D">
        <w:rPr>
          <w:rFonts w:cstheme="minorBidi"/>
          <w:szCs w:val="22"/>
          <w:lang w:val="en-US"/>
        </w:rPr>
        <w:t>, β</w:t>
      </w:r>
      <w:r w:rsidRPr="00B07B0D">
        <w:rPr>
          <w:rFonts w:cstheme="minorBidi"/>
          <w:szCs w:val="22"/>
          <w:vertAlign w:val="subscript"/>
          <w:lang w:val="en-US"/>
        </w:rPr>
        <w:t>2,</w:t>
      </w:r>
      <w:r w:rsidRPr="00B07B0D">
        <w:rPr>
          <w:rFonts w:cstheme="minorBidi"/>
          <w:szCs w:val="22"/>
          <w:lang w:val="en-US"/>
        </w:rPr>
        <w:t xml:space="preserve"> β</w:t>
      </w:r>
      <w:r w:rsidRPr="00B07B0D">
        <w:rPr>
          <w:rFonts w:cstheme="minorBidi"/>
          <w:szCs w:val="22"/>
          <w:vertAlign w:val="subscript"/>
          <w:lang w:val="en-US"/>
        </w:rPr>
        <w:t>3</w:t>
      </w:r>
      <w:r w:rsidRPr="00B07B0D">
        <w:rPr>
          <w:rFonts w:cstheme="minorBidi"/>
          <w:szCs w:val="22"/>
          <w:lang w:val="en-US"/>
        </w:rPr>
        <w:t>, β</w:t>
      </w:r>
      <w:r w:rsidRPr="00B07B0D">
        <w:rPr>
          <w:rFonts w:cstheme="minorBidi"/>
          <w:szCs w:val="22"/>
          <w:vertAlign w:val="subscript"/>
          <w:lang w:val="en-US"/>
        </w:rPr>
        <w:t>4</w:t>
      </w:r>
      <w:r w:rsidRPr="00B07B0D">
        <w:rPr>
          <w:rFonts w:cstheme="minorBidi"/>
          <w:szCs w:val="22"/>
          <w:lang w:val="en-US"/>
        </w:rPr>
        <w:t xml:space="preserve"> </w:t>
      </w:r>
      <w:r w:rsidR="00933BB2" w:rsidRPr="00B07B0D">
        <w:rPr>
          <w:rFonts w:cstheme="minorBidi"/>
          <w:szCs w:val="22"/>
          <w:lang w:val="en-US"/>
        </w:rPr>
        <w:t>… β</w:t>
      </w:r>
      <w:r w:rsidR="00933BB2" w:rsidRPr="00B07B0D">
        <w:rPr>
          <w:rFonts w:cstheme="minorBidi"/>
          <w:szCs w:val="22"/>
          <w:vertAlign w:val="subscript"/>
          <w:lang w:val="en-US"/>
        </w:rPr>
        <w:t xml:space="preserve">10 </w:t>
      </w:r>
      <w:r w:rsidR="00933BB2" w:rsidRPr="00B07B0D">
        <w:rPr>
          <w:rFonts w:cstheme="minorBidi"/>
          <w:szCs w:val="22"/>
          <w:lang w:val="en-US"/>
        </w:rPr>
        <w:t>= Coefficients associated with the 10 corporate governance independent variables (BD_</w:t>
      </w:r>
      <w:r w:rsidR="00933BB2" w:rsidRPr="00B07B0D">
        <w:rPr>
          <w:rFonts w:cstheme="minorBidi"/>
          <w:sz w:val="20"/>
          <w:szCs w:val="20"/>
          <w:lang w:val="en-US"/>
        </w:rPr>
        <w:t>IND, BD_SIZE</w:t>
      </w:r>
      <w:r w:rsidR="00933BB2" w:rsidRPr="00B07B0D">
        <w:rPr>
          <w:rFonts w:cstheme="minorBidi"/>
          <w:sz w:val="20"/>
          <w:szCs w:val="20"/>
          <w:vertAlign w:val="subscript"/>
          <w:lang w:val="en-US"/>
        </w:rPr>
        <w:t xml:space="preserve">, </w:t>
      </w:r>
      <w:r w:rsidR="00933BB2" w:rsidRPr="00B07B0D">
        <w:rPr>
          <w:rFonts w:cstheme="minorBidi"/>
          <w:sz w:val="20"/>
          <w:szCs w:val="20"/>
          <w:lang w:val="en-US"/>
        </w:rPr>
        <w:t>NON_EXEC</w:t>
      </w:r>
      <w:r w:rsidR="00933BB2" w:rsidRPr="00B07B0D">
        <w:rPr>
          <w:rFonts w:cstheme="minorBidi"/>
          <w:sz w:val="20"/>
          <w:szCs w:val="20"/>
          <w:vertAlign w:val="subscript"/>
          <w:lang w:val="en-US"/>
        </w:rPr>
        <w:t>,</w:t>
      </w:r>
      <w:r w:rsidR="00933BB2" w:rsidRPr="00B07B0D">
        <w:rPr>
          <w:rFonts w:cstheme="minorBidi"/>
          <w:szCs w:val="22"/>
          <w:lang w:val="en-US"/>
        </w:rPr>
        <w:t xml:space="preserve"> </w:t>
      </w:r>
      <w:r w:rsidR="00933BB2" w:rsidRPr="00B07B0D">
        <w:rPr>
          <w:rFonts w:cstheme="minorBidi"/>
          <w:sz w:val="20"/>
          <w:szCs w:val="20"/>
          <w:lang w:val="en-US"/>
        </w:rPr>
        <w:t>BD_ATT</w:t>
      </w:r>
      <w:r w:rsidR="00933BB2" w:rsidRPr="00B07B0D">
        <w:rPr>
          <w:rFonts w:cstheme="minorBidi"/>
          <w:sz w:val="20"/>
          <w:szCs w:val="20"/>
          <w:vertAlign w:val="subscript"/>
          <w:lang w:val="en-US"/>
        </w:rPr>
        <w:t xml:space="preserve">, </w:t>
      </w:r>
      <w:r w:rsidR="00933BB2" w:rsidRPr="00B07B0D">
        <w:rPr>
          <w:rFonts w:cstheme="minorBidi"/>
          <w:sz w:val="20"/>
          <w:szCs w:val="20"/>
          <w:lang w:val="en-US"/>
        </w:rPr>
        <w:t>GEN_BD</w:t>
      </w:r>
      <w:r w:rsidR="00933BB2" w:rsidRPr="00B07B0D">
        <w:rPr>
          <w:rFonts w:cstheme="minorBidi"/>
          <w:sz w:val="20"/>
          <w:szCs w:val="20"/>
          <w:vertAlign w:val="subscript"/>
          <w:lang w:val="en-US"/>
        </w:rPr>
        <w:t xml:space="preserve">, </w:t>
      </w:r>
      <w:r w:rsidR="00933BB2" w:rsidRPr="00B07B0D">
        <w:rPr>
          <w:rFonts w:cstheme="minorBidi"/>
          <w:sz w:val="20"/>
          <w:szCs w:val="20"/>
          <w:lang w:val="en-US"/>
        </w:rPr>
        <w:t>GEN_EXEC</w:t>
      </w:r>
      <w:r w:rsidR="00933BB2" w:rsidRPr="00B07B0D">
        <w:rPr>
          <w:rFonts w:cstheme="minorBidi"/>
          <w:sz w:val="20"/>
          <w:szCs w:val="20"/>
          <w:vertAlign w:val="subscript"/>
          <w:lang w:val="en-US"/>
        </w:rPr>
        <w:t xml:space="preserve">, </w:t>
      </w:r>
      <w:r w:rsidR="00933BB2" w:rsidRPr="00B07B0D">
        <w:rPr>
          <w:rFonts w:cstheme="minorBidi"/>
          <w:sz w:val="20"/>
          <w:szCs w:val="20"/>
          <w:lang w:val="en-US"/>
        </w:rPr>
        <w:t>AUD_EXP</w:t>
      </w:r>
      <w:r w:rsidR="00933BB2" w:rsidRPr="00B07B0D">
        <w:rPr>
          <w:rFonts w:cstheme="minorBidi"/>
          <w:sz w:val="20"/>
          <w:szCs w:val="20"/>
          <w:vertAlign w:val="subscript"/>
          <w:lang w:val="en-US"/>
        </w:rPr>
        <w:t xml:space="preserve">, </w:t>
      </w:r>
      <w:r w:rsidR="00933BB2" w:rsidRPr="00B07B0D">
        <w:rPr>
          <w:rFonts w:cstheme="minorBidi"/>
          <w:sz w:val="20"/>
          <w:szCs w:val="20"/>
          <w:lang w:val="en-US"/>
        </w:rPr>
        <w:t>AUD_NONEX</w:t>
      </w:r>
      <w:r w:rsidR="00933BB2" w:rsidRPr="00B07B0D">
        <w:rPr>
          <w:rFonts w:cstheme="minorBidi"/>
          <w:sz w:val="20"/>
          <w:szCs w:val="20"/>
          <w:vertAlign w:val="subscript"/>
          <w:lang w:val="en-US"/>
        </w:rPr>
        <w:t xml:space="preserve">, </w:t>
      </w:r>
      <w:r w:rsidR="00933BB2" w:rsidRPr="00B07B0D">
        <w:rPr>
          <w:rFonts w:cstheme="minorBidi"/>
          <w:sz w:val="20"/>
          <w:szCs w:val="20"/>
          <w:lang w:val="en-US"/>
        </w:rPr>
        <w:t>AUD_IND</w:t>
      </w:r>
      <w:r w:rsidR="00933BB2" w:rsidRPr="00B07B0D">
        <w:rPr>
          <w:rFonts w:cstheme="minorBidi"/>
          <w:sz w:val="20"/>
          <w:szCs w:val="20"/>
          <w:vertAlign w:val="subscript"/>
          <w:lang w:val="en-US"/>
        </w:rPr>
        <w:t>,</w:t>
      </w:r>
      <w:r w:rsidR="00933BB2" w:rsidRPr="00B07B0D">
        <w:rPr>
          <w:rFonts w:cstheme="minorBidi"/>
          <w:sz w:val="20"/>
          <w:szCs w:val="20"/>
          <w:lang w:val="en-US"/>
        </w:rPr>
        <w:t xml:space="preserve"> INT_AUD);</w:t>
      </w:r>
    </w:p>
    <w:p w14:paraId="49653C68" w14:textId="378EB754" w:rsidR="0097228E" w:rsidRPr="00B07B0D" w:rsidRDefault="00933BB2">
      <w:pPr>
        <w:pStyle w:val="ListParagraph"/>
        <w:numPr>
          <w:ilvl w:val="0"/>
          <w:numId w:val="5"/>
        </w:numPr>
        <w:rPr>
          <w:rFonts w:cstheme="minorBidi"/>
          <w:szCs w:val="22"/>
          <w:lang w:val="en-US"/>
        </w:rPr>
      </w:pPr>
      <w:r w:rsidRPr="00B07B0D">
        <w:rPr>
          <w:rFonts w:cstheme="minorBidi"/>
          <w:szCs w:val="22"/>
          <w:lang w:val="en-US"/>
        </w:rPr>
        <w:t>β</w:t>
      </w:r>
      <w:r w:rsidRPr="00B07B0D">
        <w:rPr>
          <w:rFonts w:cstheme="minorBidi"/>
          <w:szCs w:val="22"/>
          <w:vertAlign w:val="subscript"/>
          <w:lang w:val="en-US"/>
        </w:rPr>
        <w:t>11</w:t>
      </w:r>
      <w:r w:rsidR="0097228E" w:rsidRPr="00B07B0D">
        <w:rPr>
          <w:rFonts w:cstheme="minorBidi"/>
          <w:szCs w:val="22"/>
          <w:lang w:val="en-US"/>
        </w:rPr>
        <w:t>=</w:t>
      </w:r>
      <w:r w:rsidRPr="00B07B0D">
        <w:rPr>
          <w:rFonts w:cstheme="minorBidi"/>
          <w:szCs w:val="22"/>
          <w:lang w:val="en-US"/>
        </w:rPr>
        <w:t xml:space="preserve"> Coefficient associated with the control variable (SIZE);</w:t>
      </w:r>
    </w:p>
    <w:p w14:paraId="6C91A090" w14:textId="44389256" w:rsidR="0097228E" w:rsidRPr="00B07B0D" w:rsidRDefault="0097228E">
      <w:pPr>
        <w:pStyle w:val="ListParagraph"/>
        <w:numPr>
          <w:ilvl w:val="0"/>
          <w:numId w:val="5"/>
        </w:numPr>
        <w:rPr>
          <w:rFonts w:cstheme="minorBidi"/>
          <w:szCs w:val="22"/>
          <w:lang w:val="en-US"/>
        </w:rPr>
      </w:pPr>
      <w:proofErr w:type="spellStart"/>
      <w:r w:rsidRPr="00B07B0D">
        <w:rPr>
          <w:rFonts w:cstheme="minorBidi"/>
          <w:szCs w:val="22"/>
          <w:lang w:val="en-US"/>
        </w:rPr>
        <w:t>ε</w:t>
      </w:r>
      <w:r w:rsidRPr="00B07B0D">
        <w:rPr>
          <w:rFonts w:cstheme="minorBidi"/>
          <w:szCs w:val="22"/>
          <w:vertAlign w:val="subscript"/>
          <w:lang w:val="en-US"/>
        </w:rPr>
        <w:t>i</w:t>
      </w:r>
      <w:proofErr w:type="spellEnd"/>
      <w:r w:rsidRPr="00B07B0D">
        <w:rPr>
          <w:rFonts w:cstheme="minorBidi"/>
          <w:szCs w:val="22"/>
          <w:lang w:val="en-US"/>
        </w:rPr>
        <w:t xml:space="preserve"> = </w:t>
      </w:r>
      <w:r w:rsidR="00933BB2" w:rsidRPr="00B07B0D">
        <w:rPr>
          <w:rFonts w:cstheme="minorBidi"/>
          <w:szCs w:val="22"/>
          <w:lang w:val="en-US"/>
        </w:rPr>
        <w:t>Residual error (error term)</w:t>
      </w:r>
      <w:r w:rsidR="0046760E" w:rsidRPr="00B07B0D">
        <w:rPr>
          <w:rFonts w:cstheme="minorBidi"/>
          <w:szCs w:val="22"/>
          <w:lang w:val="en-US"/>
        </w:rPr>
        <w:t>.</w:t>
      </w:r>
    </w:p>
    <w:p w14:paraId="09C88C94" w14:textId="77777777" w:rsidR="003664F4" w:rsidRPr="00B07B0D" w:rsidRDefault="003664F4" w:rsidP="006C0AA4">
      <w:pPr>
        <w:rPr>
          <w:rFonts w:cstheme="minorBidi"/>
          <w:i/>
          <w:iCs/>
          <w:szCs w:val="22"/>
          <w:lang w:val="en-US"/>
        </w:rPr>
      </w:pPr>
    </w:p>
    <w:p w14:paraId="1A07198F" w14:textId="133D8993" w:rsidR="007447A5" w:rsidRPr="00B07B0D" w:rsidRDefault="00301B30" w:rsidP="00301B30">
      <w:pPr>
        <w:rPr>
          <w:rFonts w:cstheme="minorBidi"/>
          <w:szCs w:val="22"/>
          <w:lang w:val="en-US"/>
        </w:rPr>
      </w:pPr>
      <w:r w:rsidRPr="00B07B0D">
        <w:rPr>
          <w:rFonts w:cstheme="minorBidi"/>
          <w:szCs w:val="22"/>
          <w:lang w:val="en-US"/>
        </w:rPr>
        <w:t>We note that the model involves multiple linear regression; the linear regression model was performed using SPSS for each year in the analyzed period, namely 2021–2024.</w:t>
      </w:r>
      <w:r w:rsidR="0034036B" w:rsidRPr="00B07B0D">
        <w:rPr>
          <w:rFonts w:cstheme="minorBidi"/>
          <w:szCs w:val="22"/>
          <w:lang w:val="en-US"/>
        </w:rPr>
        <w:t xml:space="preserve"> </w:t>
      </w:r>
      <w:r w:rsidRPr="00B07B0D">
        <w:rPr>
          <w:rFonts w:cstheme="minorBidi"/>
          <w:szCs w:val="22"/>
          <w:lang w:val="en-US"/>
        </w:rPr>
        <w:t>The research sample comprises 884 public companies in Europe (excluding the United Kingdom) that published data in LSEG Workspace for the period 2021–2024.</w:t>
      </w:r>
    </w:p>
    <w:p w14:paraId="62F75F82" w14:textId="77777777" w:rsidR="008A2492" w:rsidRPr="00B07B0D" w:rsidRDefault="008A2492" w:rsidP="00301B30">
      <w:pPr>
        <w:rPr>
          <w:rFonts w:cstheme="minorBidi"/>
          <w:szCs w:val="22"/>
          <w:lang w:val="en-US"/>
        </w:rPr>
      </w:pPr>
    </w:p>
    <w:p w14:paraId="57E3F89F" w14:textId="7A1704AA" w:rsidR="00301B30" w:rsidRPr="00B07B0D" w:rsidRDefault="008A2492" w:rsidP="00F3669D">
      <w:pPr>
        <w:jc w:val="center"/>
        <w:rPr>
          <w:rFonts w:cstheme="minorBidi"/>
          <w:b/>
          <w:bCs/>
          <w:sz w:val="20"/>
          <w:szCs w:val="20"/>
          <w:lang w:val="en-US"/>
        </w:rPr>
      </w:pPr>
      <w:r w:rsidRPr="00B07B0D">
        <w:rPr>
          <w:rFonts w:cstheme="minorBidi"/>
          <w:b/>
          <w:bCs/>
          <w:sz w:val="20"/>
          <w:szCs w:val="20"/>
          <w:lang w:val="en-US"/>
        </w:rPr>
        <w:t xml:space="preserve">Table 2. Test </w:t>
      </w:r>
      <w:r w:rsidR="00844B0F" w:rsidRPr="00B07B0D">
        <w:rPr>
          <w:rFonts w:cstheme="minorBidi"/>
          <w:b/>
          <w:bCs/>
          <w:sz w:val="20"/>
          <w:szCs w:val="20"/>
          <w:lang w:val="en-US"/>
        </w:rPr>
        <w:t>s</w:t>
      </w:r>
      <w:r w:rsidRPr="00B07B0D">
        <w:rPr>
          <w:rFonts w:cstheme="minorBidi"/>
          <w:b/>
          <w:bCs/>
          <w:sz w:val="20"/>
          <w:szCs w:val="20"/>
          <w:lang w:val="en-US"/>
        </w:rPr>
        <w:t>ample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3"/>
        <w:gridCol w:w="1806"/>
        <w:gridCol w:w="3791"/>
      </w:tblGrid>
      <w:tr w:rsidR="00107B20" w:rsidRPr="00B07B0D" w14:paraId="0B3739D3" w14:textId="77777777" w:rsidTr="005C23ED">
        <w:trPr>
          <w:trHeight w:val="215"/>
          <w:jc w:val="center"/>
        </w:trPr>
        <w:tc>
          <w:tcPr>
            <w:tcW w:w="1809" w:type="dxa"/>
            <w:tcBorders>
              <w:top w:val="single" w:sz="4" w:space="0" w:color="auto"/>
              <w:bottom w:val="single" w:sz="4" w:space="0" w:color="auto"/>
            </w:tcBorders>
            <w:vAlign w:val="center"/>
          </w:tcPr>
          <w:p w14:paraId="094B85FA" w14:textId="506EEF13" w:rsidR="007447A5" w:rsidRPr="00B07B0D" w:rsidRDefault="007447A5" w:rsidP="007447A5">
            <w:pPr>
              <w:jc w:val="center"/>
              <w:rPr>
                <w:rFonts w:cstheme="minorBidi"/>
                <w:sz w:val="20"/>
                <w:szCs w:val="20"/>
                <w:lang w:val="en-US"/>
              </w:rPr>
            </w:pPr>
            <w:r w:rsidRPr="00B07B0D">
              <w:rPr>
                <w:rFonts w:cstheme="minorBidi"/>
                <w:b/>
                <w:bCs/>
                <w:sz w:val="20"/>
                <w:szCs w:val="20"/>
                <w:lang w:val="en-US"/>
              </w:rPr>
              <w:t>Selection stage</w:t>
            </w:r>
          </w:p>
        </w:tc>
        <w:tc>
          <w:tcPr>
            <w:tcW w:w="1843" w:type="dxa"/>
            <w:tcBorders>
              <w:top w:val="single" w:sz="4" w:space="0" w:color="auto"/>
              <w:bottom w:val="single" w:sz="4" w:space="0" w:color="auto"/>
            </w:tcBorders>
            <w:vAlign w:val="center"/>
          </w:tcPr>
          <w:p w14:paraId="315F8B8F" w14:textId="3557386F" w:rsidR="007447A5" w:rsidRPr="00B07B0D" w:rsidRDefault="007447A5" w:rsidP="007447A5">
            <w:pPr>
              <w:jc w:val="center"/>
              <w:rPr>
                <w:rFonts w:cstheme="minorBidi"/>
                <w:sz w:val="20"/>
                <w:szCs w:val="20"/>
                <w:lang w:val="en-US"/>
              </w:rPr>
            </w:pPr>
            <w:r w:rsidRPr="00B07B0D">
              <w:rPr>
                <w:rFonts w:cstheme="minorBidi"/>
                <w:b/>
                <w:bCs/>
                <w:sz w:val="20"/>
                <w:szCs w:val="20"/>
                <w:lang w:val="en-US"/>
              </w:rPr>
              <w:t>Number of companies</w:t>
            </w:r>
          </w:p>
        </w:tc>
        <w:tc>
          <w:tcPr>
            <w:tcW w:w="3934" w:type="dxa"/>
            <w:tcBorders>
              <w:top w:val="single" w:sz="4" w:space="0" w:color="auto"/>
              <w:bottom w:val="single" w:sz="4" w:space="0" w:color="auto"/>
            </w:tcBorders>
            <w:vAlign w:val="center"/>
          </w:tcPr>
          <w:p w14:paraId="3979A838" w14:textId="31ED1BCD" w:rsidR="007447A5" w:rsidRPr="00B07B0D" w:rsidRDefault="007447A5" w:rsidP="007447A5">
            <w:pPr>
              <w:jc w:val="center"/>
              <w:rPr>
                <w:rFonts w:cstheme="minorBidi"/>
                <w:sz w:val="20"/>
                <w:szCs w:val="20"/>
                <w:lang w:val="en-US"/>
              </w:rPr>
            </w:pPr>
            <w:r w:rsidRPr="00B07B0D">
              <w:rPr>
                <w:rFonts w:cstheme="minorBidi"/>
                <w:b/>
                <w:bCs/>
                <w:sz w:val="20"/>
                <w:szCs w:val="20"/>
                <w:lang w:val="en-US"/>
              </w:rPr>
              <w:t>Selection criterion</w:t>
            </w:r>
          </w:p>
        </w:tc>
      </w:tr>
      <w:tr w:rsidR="00107B20" w:rsidRPr="00B07B0D" w14:paraId="0566B430" w14:textId="77777777" w:rsidTr="005C23ED">
        <w:trPr>
          <w:jc w:val="center"/>
        </w:trPr>
        <w:tc>
          <w:tcPr>
            <w:tcW w:w="1809" w:type="dxa"/>
            <w:tcBorders>
              <w:top w:val="single" w:sz="4" w:space="0" w:color="auto"/>
            </w:tcBorders>
          </w:tcPr>
          <w:p w14:paraId="60B20015" w14:textId="4D4F1D5C" w:rsidR="007447A5" w:rsidRPr="00B07B0D" w:rsidRDefault="007447A5" w:rsidP="00844B0F">
            <w:pPr>
              <w:jc w:val="left"/>
              <w:rPr>
                <w:rFonts w:cstheme="minorBidi"/>
                <w:sz w:val="20"/>
                <w:szCs w:val="20"/>
                <w:lang w:val="en-US"/>
              </w:rPr>
            </w:pPr>
            <w:r w:rsidRPr="00B07B0D">
              <w:rPr>
                <w:rFonts w:cstheme="minorBidi"/>
                <w:sz w:val="20"/>
                <w:szCs w:val="20"/>
                <w:lang w:val="en-US"/>
              </w:rPr>
              <w:t>Initial sample (2021)</w:t>
            </w:r>
          </w:p>
        </w:tc>
        <w:tc>
          <w:tcPr>
            <w:tcW w:w="1843" w:type="dxa"/>
            <w:tcBorders>
              <w:top w:val="single" w:sz="4" w:space="0" w:color="auto"/>
            </w:tcBorders>
          </w:tcPr>
          <w:p w14:paraId="27BA1AD2" w14:textId="77777777" w:rsidR="007447A5" w:rsidRPr="00B07B0D" w:rsidRDefault="007447A5" w:rsidP="00844B0F">
            <w:pPr>
              <w:jc w:val="right"/>
              <w:rPr>
                <w:rFonts w:cstheme="minorBidi"/>
                <w:sz w:val="20"/>
                <w:szCs w:val="20"/>
                <w:lang w:val="en-US"/>
              </w:rPr>
            </w:pPr>
            <w:r w:rsidRPr="00B07B0D">
              <w:rPr>
                <w:rFonts w:cstheme="minorBidi"/>
                <w:sz w:val="20"/>
                <w:szCs w:val="20"/>
                <w:lang w:val="en-US"/>
              </w:rPr>
              <w:t>1.239</w:t>
            </w:r>
          </w:p>
        </w:tc>
        <w:tc>
          <w:tcPr>
            <w:tcW w:w="3934" w:type="dxa"/>
            <w:tcBorders>
              <w:top w:val="single" w:sz="4" w:space="0" w:color="auto"/>
            </w:tcBorders>
          </w:tcPr>
          <w:p w14:paraId="29A3A110" w14:textId="19E45A36" w:rsidR="007447A5" w:rsidRPr="00B07B0D" w:rsidRDefault="007447A5" w:rsidP="00844B0F">
            <w:pPr>
              <w:jc w:val="left"/>
              <w:rPr>
                <w:rFonts w:cstheme="minorBidi"/>
                <w:sz w:val="20"/>
                <w:szCs w:val="20"/>
                <w:lang w:val="en-US"/>
              </w:rPr>
            </w:pPr>
            <w:r w:rsidRPr="00B07B0D">
              <w:rPr>
                <w:rFonts w:cstheme="minorBidi"/>
                <w:sz w:val="20"/>
                <w:szCs w:val="20"/>
                <w:lang w:val="en-US"/>
              </w:rPr>
              <w:t>Public companies in Europe initially identified in LSEG Workspace.</w:t>
            </w:r>
          </w:p>
        </w:tc>
      </w:tr>
      <w:tr w:rsidR="00107B20" w:rsidRPr="00B07B0D" w14:paraId="027C7358" w14:textId="77777777" w:rsidTr="005C23ED">
        <w:trPr>
          <w:trHeight w:val="371"/>
          <w:jc w:val="center"/>
        </w:trPr>
        <w:tc>
          <w:tcPr>
            <w:tcW w:w="1809" w:type="dxa"/>
          </w:tcPr>
          <w:p w14:paraId="501B52F4" w14:textId="0E8298CB" w:rsidR="007447A5" w:rsidRPr="00B07B0D" w:rsidRDefault="007447A5" w:rsidP="00844B0F">
            <w:pPr>
              <w:jc w:val="left"/>
              <w:rPr>
                <w:rFonts w:cstheme="minorBidi"/>
                <w:sz w:val="20"/>
                <w:szCs w:val="20"/>
                <w:lang w:val="en-US"/>
              </w:rPr>
            </w:pPr>
            <w:r w:rsidRPr="00B07B0D">
              <w:rPr>
                <w:rFonts w:cstheme="minorBidi"/>
                <w:sz w:val="20"/>
                <w:szCs w:val="20"/>
                <w:lang w:val="en-US"/>
              </w:rPr>
              <w:t>Companies with missing data (2022–2024)</w:t>
            </w:r>
          </w:p>
        </w:tc>
        <w:tc>
          <w:tcPr>
            <w:tcW w:w="1843" w:type="dxa"/>
          </w:tcPr>
          <w:p w14:paraId="434A395A" w14:textId="77777777" w:rsidR="007447A5" w:rsidRPr="00B07B0D" w:rsidRDefault="007447A5" w:rsidP="00844B0F">
            <w:pPr>
              <w:jc w:val="right"/>
              <w:rPr>
                <w:rFonts w:cstheme="minorBidi"/>
                <w:sz w:val="20"/>
                <w:szCs w:val="20"/>
                <w:lang w:val="en-US"/>
              </w:rPr>
            </w:pPr>
            <w:r w:rsidRPr="00B07B0D">
              <w:rPr>
                <w:rFonts w:cstheme="minorBidi"/>
                <w:sz w:val="20"/>
                <w:szCs w:val="20"/>
                <w:lang w:val="en-US"/>
              </w:rPr>
              <w:t>355</w:t>
            </w:r>
          </w:p>
        </w:tc>
        <w:tc>
          <w:tcPr>
            <w:tcW w:w="3934" w:type="dxa"/>
          </w:tcPr>
          <w:p w14:paraId="1186FBF4" w14:textId="14FB29AF" w:rsidR="007447A5" w:rsidRPr="00B07B0D" w:rsidRDefault="007447A5" w:rsidP="00844B0F">
            <w:pPr>
              <w:jc w:val="left"/>
              <w:rPr>
                <w:rFonts w:cstheme="minorBidi"/>
                <w:sz w:val="20"/>
                <w:szCs w:val="20"/>
                <w:lang w:val="en-US"/>
              </w:rPr>
            </w:pPr>
            <w:r w:rsidRPr="00B07B0D">
              <w:rPr>
                <w:rFonts w:cstheme="minorBidi"/>
                <w:sz w:val="20"/>
                <w:szCs w:val="20"/>
                <w:lang w:val="en-US"/>
              </w:rPr>
              <w:t>Exclusion of companies that did not report the complete set of governance or financial data during the subsequent period.</w:t>
            </w:r>
          </w:p>
        </w:tc>
      </w:tr>
      <w:tr w:rsidR="00107B20" w:rsidRPr="00B07B0D" w14:paraId="14573A8B" w14:textId="77777777" w:rsidTr="005C23ED">
        <w:trPr>
          <w:jc w:val="center"/>
        </w:trPr>
        <w:tc>
          <w:tcPr>
            <w:tcW w:w="1809" w:type="dxa"/>
          </w:tcPr>
          <w:p w14:paraId="7B61B72E" w14:textId="2E3A3FEF" w:rsidR="007447A5" w:rsidRPr="00B07B0D" w:rsidRDefault="00844B0F" w:rsidP="00844B0F">
            <w:pPr>
              <w:jc w:val="left"/>
              <w:rPr>
                <w:rFonts w:cstheme="minorBidi"/>
                <w:sz w:val="20"/>
                <w:szCs w:val="20"/>
                <w:lang w:val="en-US"/>
              </w:rPr>
            </w:pPr>
            <w:r w:rsidRPr="00B07B0D">
              <w:rPr>
                <w:rFonts w:cstheme="minorBidi"/>
                <w:sz w:val="20"/>
                <w:szCs w:val="20"/>
                <w:lang w:val="en-US"/>
              </w:rPr>
              <w:t>Final sample</w:t>
            </w:r>
          </w:p>
        </w:tc>
        <w:tc>
          <w:tcPr>
            <w:tcW w:w="1843" w:type="dxa"/>
          </w:tcPr>
          <w:p w14:paraId="6EBD531A" w14:textId="77777777" w:rsidR="007447A5" w:rsidRPr="00B07B0D" w:rsidRDefault="007447A5" w:rsidP="00844B0F">
            <w:pPr>
              <w:jc w:val="right"/>
              <w:rPr>
                <w:rFonts w:cstheme="minorBidi"/>
                <w:sz w:val="20"/>
                <w:szCs w:val="20"/>
                <w:lang w:val="en-US"/>
              </w:rPr>
            </w:pPr>
            <w:r w:rsidRPr="00B07B0D">
              <w:rPr>
                <w:rFonts w:cstheme="minorBidi"/>
                <w:sz w:val="20"/>
                <w:szCs w:val="20"/>
                <w:lang w:val="en-US"/>
              </w:rPr>
              <w:t>884</w:t>
            </w:r>
          </w:p>
        </w:tc>
        <w:tc>
          <w:tcPr>
            <w:tcW w:w="3934" w:type="dxa"/>
          </w:tcPr>
          <w:p w14:paraId="7029F2DF" w14:textId="701E2087" w:rsidR="007447A5" w:rsidRPr="00B07B0D" w:rsidRDefault="007447A5" w:rsidP="00844B0F">
            <w:pPr>
              <w:jc w:val="left"/>
              <w:rPr>
                <w:rFonts w:cstheme="minorBidi"/>
                <w:sz w:val="20"/>
                <w:szCs w:val="20"/>
                <w:lang w:val="en-US"/>
              </w:rPr>
            </w:pPr>
            <w:r w:rsidRPr="00B07B0D">
              <w:rPr>
                <w:rFonts w:cstheme="minorBidi"/>
                <w:sz w:val="20"/>
                <w:szCs w:val="20"/>
                <w:lang w:val="en-US"/>
              </w:rPr>
              <w:t>Companies with complete and valid data for all 4 years of analysis.</w:t>
            </w:r>
          </w:p>
        </w:tc>
      </w:tr>
    </w:tbl>
    <w:p w14:paraId="600B503F" w14:textId="258DF5D5" w:rsidR="007447A5" w:rsidRPr="000D04CD" w:rsidRDefault="007447A5" w:rsidP="0034036B">
      <w:pPr>
        <w:jc w:val="center"/>
        <w:rPr>
          <w:rFonts w:cstheme="minorBidi"/>
          <w:iCs/>
          <w:sz w:val="20"/>
          <w:szCs w:val="20"/>
          <w:lang w:val="en-US"/>
        </w:rPr>
      </w:pPr>
      <w:r w:rsidRPr="00B07B0D">
        <w:rPr>
          <w:rFonts w:cstheme="minorBidi"/>
          <w:i/>
          <w:iCs/>
          <w:sz w:val="20"/>
          <w:szCs w:val="20"/>
          <w:lang w:val="en-US"/>
        </w:rPr>
        <w:t>Source</w:t>
      </w:r>
      <w:r w:rsidRPr="000D04CD">
        <w:rPr>
          <w:rFonts w:cstheme="minorBidi"/>
          <w:iCs/>
          <w:sz w:val="20"/>
          <w:szCs w:val="20"/>
          <w:lang w:val="en-US"/>
        </w:rPr>
        <w:t>: Authors’ own research</w:t>
      </w:r>
    </w:p>
    <w:p w14:paraId="023B2002" w14:textId="77777777" w:rsidR="00E26813" w:rsidRPr="00B07B0D" w:rsidRDefault="00E26813" w:rsidP="0034036B">
      <w:pPr>
        <w:jc w:val="center"/>
        <w:rPr>
          <w:rFonts w:cstheme="minorBidi"/>
          <w:i/>
          <w:iCs/>
          <w:sz w:val="20"/>
          <w:szCs w:val="20"/>
          <w:lang w:val="en-US"/>
        </w:rPr>
      </w:pPr>
    </w:p>
    <w:p w14:paraId="6A89CB24" w14:textId="776BD2C9" w:rsidR="00C05E77" w:rsidRPr="00B07B0D" w:rsidRDefault="0097228E" w:rsidP="008D14F3">
      <w:pPr>
        <w:rPr>
          <w:rFonts w:cstheme="minorBidi"/>
          <w:szCs w:val="22"/>
          <w:lang w:val="en-US"/>
        </w:rPr>
      </w:pPr>
      <w:r w:rsidRPr="00B07B0D">
        <w:rPr>
          <w:rFonts w:cstheme="minorBidi"/>
          <w:szCs w:val="22"/>
          <w:lang w:val="en-US"/>
        </w:rPr>
        <w:t xml:space="preserve">The period </w:t>
      </w:r>
      <w:r w:rsidR="003A5409" w:rsidRPr="00B07B0D">
        <w:rPr>
          <w:rFonts w:cstheme="minorBidi"/>
          <w:szCs w:val="22"/>
          <w:lang w:val="en-US"/>
        </w:rPr>
        <w:t>analyzed</w:t>
      </w:r>
      <w:r w:rsidRPr="00B07B0D">
        <w:rPr>
          <w:rFonts w:cstheme="minorBidi"/>
          <w:szCs w:val="22"/>
          <w:lang w:val="en-US"/>
        </w:rPr>
        <w:t xml:space="preserve"> covers both the post-pandemic economic context and the impact of geopolitical risks, as well as the implementation of new European regulations in the field of non-financial reporting (European Sustainability Reporting Standards - ESRS). </w:t>
      </w:r>
    </w:p>
    <w:p w14:paraId="01805395" w14:textId="77777777" w:rsidR="00C05E77" w:rsidRPr="00B07B0D" w:rsidRDefault="00C05E77" w:rsidP="008D14F3">
      <w:pPr>
        <w:rPr>
          <w:rFonts w:cstheme="minorBidi"/>
          <w:szCs w:val="22"/>
          <w:lang w:val="en-US"/>
        </w:rPr>
      </w:pPr>
    </w:p>
    <w:p w14:paraId="2641E68F" w14:textId="4343221C" w:rsidR="00C05E77" w:rsidRPr="00B07B0D" w:rsidRDefault="0097228E" w:rsidP="008D14F3">
      <w:pPr>
        <w:rPr>
          <w:rFonts w:cstheme="minorBidi"/>
          <w:szCs w:val="22"/>
          <w:lang w:val="en-US"/>
        </w:rPr>
      </w:pPr>
      <w:r w:rsidRPr="00B07B0D">
        <w:rPr>
          <w:rFonts w:cstheme="minorBidi"/>
          <w:szCs w:val="22"/>
          <w:lang w:val="en-US"/>
        </w:rPr>
        <w:t>The ESRS set out detailed ESG reporting requirements under the Corporate Sustainability Reporting Directive (CSRD), which will be mandatory from 2024 for large companies listed in the EU, with their applicability to be extended subsequently to other large companies and listed medium-sized enterprises. These changes may have an impact on financial performance by increasing transparency and investor confidence, increasing reporting and audit costs, and adjusting strategic decisions on sustainability and risk management.</w:t>
      </w:r>
      <w:r w:rsidR="00C05E77" w:rsidRPr="00B07B0D">
        <w:rPr>
          <w:rFonts w:cstheme="minorBidi"/>
          <w:szCs w:val="22"/>
          <w:lang w:val="en-US"/>
        </w:rPr>
        <w:t xml:space="preserve"> </w:t>
      </w:r>
    </w:p>
    <w:p w14:paraId="5613AACE" w14:textId="77777777" w:rsidR="00C05E77" w:rsidRPr="00B07B0D" w:rsidRDefault="00C05E77" w:rsidP="008D14F3">
      <w:pPr>
        <w:rPr>
          <w:rFonts w:cstheme="minorBidi"/>
          <w:szCs w:val="22"/>
          <w:lang w:val="en-US"/>
        </w:rPr>
      </w:pPr>
    </w:p>
    <w:p w14:paraId="672EEF73" w14:textId="3554043F" w:rsidR="00C05E77" w:rsidRPr="00B07B0D" w:rsidRDefault="00BB4941" w:rsidP="008D14F3">
      <w:pPr>
        <w:rPr>
          <w:rFonts w:cstheme="minorBidi"/>
          <w:szCs w:val="22"/>
          <w:lang w:val="en-US"/>
        </w:rPr>
      </w:pPr>
      <w:r w:rsidRPr="00B07B0D">
        <w:rPr>
          <w:rFonts w:cstheme="minorBidi"/>
          <w:szCs w:val="22"/>
          <w:lang w:val="en-US"/>
        </w:rPr>
        <w:t>Only companies with their country of origin in Europe that published complete and valid data for the period analyzed were included in the sample. This research focused on public companies in Europe, given the harmonized regulatory framework established by Directive 2006/43/EC and Directive 2014/56/EU. According to these regulations,</w:t>
      </w:r>
      <w:r w:rsidR="00521B0F" w:rsidRPr="00B07B0D">
        <w:rPr>
          <w:rFonts w:cstheme="minorBidi"/>
          <w:szCs w:val="22"/>
          <w:lang w:val="en-US"/>
        </w:rPr>
        <w:t xml:space="preserve"> </w:t>
      </w:r>
      <w:r w:rsidRPr="00B07B0D">
        <w:rPr>
          <w:rFonts w:cstheme="minorBidi"/>
          <w:szCs w:val="22"/>
          <w:lang w:val="en-US"/>
        </w:rPr>
        <w:t>the majority of the audit committee members must be non-executive and independent, and at least one member must have audit or financial expertise. At the same time, European Union member states (such as France, Italy, Germany, Romania, etc.) have developed and implemented their own Corporate Governance Codes, which set strict requirements regarding the independence of the audit committee and the level of professional expertise required of its members.</w:t>
      </w:r>
      <w:r w:rsidR="006F5D0F">
        <w:rPr>
          <w:rFonts w:cstheme="minorBidi"/>
          <w:szCs w:val="22"/>
          <w:lang w:val="en-US"/>
        </w:rPr>
        <w:t xml:space="preserve"> </w:t>
      </w:r>
      <w:r w:rsidRPr="00B07B0D">
        <w:rPr>
          <w:rFonts w:cstheme="minorBidi"/>
          <w:szCs w:val="22"/>
          <w:lang w:val="en-US"/>
        </w:rPr>
        <w:t xml:space="preserve">The exclusion of the United Kingdom is based on structural and systemic differences between the Anglo-Saxon and continental European models. </w:t>
      </w:r>
    </w:p>
    <w:p w14:paraId="6B063E55" w14:textId="77777777" w:rsidR="00C05E77" w:rsidRPr="00B07B0D" w:rsidRDefault="00C05E77" w:rsidP="008D14F3">
      <w:pPr>
        <w:rPr>
          <w:rFonts w:cstheme="minorBidi"/>
          <w:szCs w:val="22"/>
          <w:lang w:val="en-US"/>
        </w:rPr>
      </w:pPr>
    </w:p>
    <w:p w14:paraId="4C04A127" w14:textId="0EA50039" w:rsidR="00C05E77" w:rsidRPr="00B07B0D" w:rsidRDefault="003C4B66" w:rsidP="008D14F3">
      <w:pPr>
        <w:rPr>
          <w:rFonts w:cstheme="minorBidi"/>
          <w:szCs w:val="22"/>
          <w:lang w:val="en-US"/>
        </w:rPr>
      </w:pPr>
      <w:r w:rsidRPr="00B07B0D">
        <w:rPr>
          <w:rFonts w:cstheme="minorBidi"/>
          <w:szCs w:val="22"/>
          <w:lang w:val="en-US"/>
        </w:rPr>
        <w:t>The literature highlights that factors such as nationality and the institutional context of the business environment significantly influence the structure of boards of directors and the proportion of outside directors (</w:t>
      </w:r>
      <w:proofErr w:type="spellStart"/>
      <w:r w:rsidRPr="00B07B0D">
        <w:rPr>
          <w:rFonts w:cstheme="minorBidi"/>
          <w:szCs w:val="22"/>
          <w:lang w:val="en-US"/>
        </w:rPr>
        <w:t>Ooghe</w:t>
      </w:r>
      <w:proofErr w:type="spellEnd"/>
      <w:r w:rsidRPr="00B07B0D">
        <w:rPr>
          <w:rFonts w:cstheme="minorBidi"/>
          <w:szCs w:val="22"/>
          <w:lang w:val="en-US"/>
        </w:rPr>
        <w:t xml:space="preserve"> &amp; De Langhe, 2002). In the same vein, </w:t>
      </w:r>
      <w:proofErr w:type="spellStart"/>
      <w:r w:rsidRPr="00B07B0D">
        <w:rPr>
          <w:rFonts w:cstheme="minorBidi"/>
          <w:szCs w:val="22"/>
          <w:lang w:val="en-US"/>
        </w:rPr>
        <w:t>Dervida</w:t>
      </w:r>
      <w:proofErr w:type="spellEnd"/>
      <w:r w:rsidRPr="00B07B0D">
        <w:rPr>
          <w:rFonts w:cstheme="minorBidi"/>
          <w:szCs w:val="22"/>
          <w:lang w:val="en-US"/>
        </w:rPr>
        <w:t xml:space="preserve"> </w:t>
      </w:r>
      <w:r w:rsidRPr="003A5409">
        <w:rPr>
          <w:rFonts w:cstheme="minorBidi"/>
          <w:i/>
          <w:iCs/>
          <w:szCs w:val="22"/>
          <w:lang w:val="en-US"/>
        </w:rPr>
        <w:t>et al.</w:t>
      </w:r>
      <w:r w:rsidRPr="00B07B0D">
        <w:rPr>
          <w:rFonts w:cstheme="minorBidi"/>
          <w:szCs w:val="22"/>
          <w:lang w:val="en-US"/>
        </w:rPr>
        <w:t xml:space="preserve"> (2024) show that institutional differences between the Anglo-Saxon and continental European models generate distinct mechanisms for exercising corporate control. In this context, the exclusion of the United Kingdom ensures the homogeneity of the sample and allows for relevant and comparable results within the specific context of European markets.</w:t>
      </w:r>
      <w:r w:rsidR="00C05E77" w:rsidRPr="00B07B0D">
        <w:rPr>
          <w:rFonts w:cstheme="minorBidi"/>
          <w:szCs w:val="22"/>
          <w:lang w:val="en-US"/>
        </w:rPr>
        <w:t xml:space="preserve"> </w:t>
      </w:r>
    </w:p>
    <w:p w14:paraId="7221E19E" w14:textId="77777777" w:rsidR="00C05E77" w:rsidRPr="00B07B0D" w:rsidRDefault="00C05E77" w:rsidP="008D14F3">
      <w:pPr>
        <w:rPr>
          <w:rFonts w:cstheme="minorBidi"/>
          <w:szCs w:val="22"/>
          <w:lang w:val="en-US"/>
        </w:rPr>
      </w:pPr>
    </w:p>
    <w:p w14:paraId="562BC771" w14:textId="6E34C6AF" w:rsidR="008D14F3" w:rsidRPr="00B07B0D" w:rsidRDefault="008D14F3" w:rsidP="008D14F3">
      <w:pPr>
        <w:rPr>
          <w:rFonts w:cstheme="minorBidi"/>
          <w:szCs w:val="22"/>
          <w:lang w:val="en-US"/>
        </w:rPr>
      </w:pPr>
      <w:r w:rsidRPr="00B07B0D">
        <w:rPr>
          <w:rFonts w:cstheme="minorBidi"/>
          <w:szCs w:val="22"/>
          <w:lang w:val="en-US"/>
        </w:rPr>
        <w:t>The distribution of companies in the sample according to country of origin highlights the geographical diversity of the organizations analyzed (Figure</w:t>
      </w:r>
      <w:r w:rsidR="0046760E" w:rsidRPr="00B07B0D">
        <w:rPr>
          <w:rFonts w:cstheme="minorBidi"/>
          <w:szCs w:val="22"/>
          <w:lang w:val="en-US"/>
        </w:rPr>
        <w:t xml:space="preserve"> </w:t>
      </w:r>
      <w:r w:rsidRPr="00B07B0D">
        <w:rPr>
          <w:rFonts w:cstheme="minorBidi"/>
          <w:szCs w:val="22"/>
          <w:lang w:val="en-US"/>
        </w:rPr>
        <w:t>1)</w:t>
      </w:r>
      <w:r w:rsidR="006F5D0F">
        <w:rPr>
          <w:rFonts w:cstheme="minorBidi"/>
          <w:szCs w:val="22"/>
          <w:lang w:val="en-US"/>
        </w:rPr>
        <w:t>.</w:t>
      </w:r>
    </w:p>
    <w:p w14:paraId="4874EB59" w14:textId="77777777" w:rsidR="008D14F3" w:rsidRPr="00B07B0D" w:rsidRDefault="008D14F3" w:rsidP="008D14F3">
      <w:pPr>
        <w:rPr>
          <w:rFonts w:cstheme="minorBidi"/>
          <w:szCs w:val="22"/>
          <w:lang w:val="en-US"/>
        </w:rPr>
      </w:pPr>
    </w:p>
    <w:p w14:paraId="38E9D3B2" w14:textId="31436DD7" w:rsidR="00FB0DD6" w:rsidRPr="00B07B0D" w:rsidRDefault="008D14F3" w:rsidP="004F4E27">
      <w:pPr>
        <w:rPr>
          <w:rFonts w:cstheme="minorBidi"/>
          <w:szCs w:val="22"/>
          <w:lang w:val="en-US"/>
        </w:rPr>
      </w:pPr>
      <w:r w:rsidRPr="00B07B0D">
        <w:rPr>
          <w:rFonts w:asciiTheme="minorHAnsi" w:hAnsiTheme="minorHAnsi" w:cstheme="minorHAnsi"/>
          <w:noProof/>
          <w:szCs w:val="20"/>
          <w:lang w:val="en-US"/>
        </w:rPr>
        <w:drawing>
          <wp:inline distT="0" distB="0" distL="0" distR="0" wp14:anchorId="02D9B1D8" wp14:editId="43CD77BA">
            <wp:extent cx="4679950" cy="1518834"/>
            <wp:effectExtent l="0" t="0" r="0" b="0"/>
            <wp:docPr id="1596471578" name="Chart 1">
              <a:extLst xmlns:a="http://schemas.openxmlformats.org/drawingml/2006/main">
                <a:ext uri="{FF2B5EF4-FFF2-40B4-BE49-F238E27FC236}">
                  <a16:creationId xmlns:a16="http://schemas.microsoft.com/office/drawing/2014/main" id="{344603D6-9E7C-D364-55F6-495261F732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8D97DB" w14:textId="77777777" w:rsidR="00F3669D" w:rsidRPr="00B07B0D" w:rsidRDefault="00F3669D" w:rsidP="00F3669D">
      <w:pPr>
        <w:jc w:val="center"/>
        <w:rPr>
          <w:rFonts w:cstheme="minorBidi"/>
          <w:b/>
          <w:bCs/>
          <w:sz w:val="20"/>
          <w:szCs w:val="20"/>
          <w:lang w:val="en-US"/>
        </w:rPr>
      </w:pPr>
      <w:r w:rsidRPr="00B07B0D">
        <w:rPr>
          <w:rFonts w:cstheme="minorBidi"/>
          <w:b/>
          <w:bCs/>
          <w:sz w:val="20"/>
          <w:szCs w:val="20"/>
          <w:lang w:val="en-US"/>
        </w:rPr>
        <w:t>Figure 1. Geographical distribution of companies in the sample by country</w:t>
      </w:r>
    </w:p>
    <w:p w14:paraId="0495A605" w14:textId="449364BC" w:rsidR="00E06433" w:rsidRPr="00B07B0D" w:rsidRDefault="001D6E7D" w:rsidP="00F3669D">
      <w:pPr>
        <w:jc w:val="center"/>
        <w:rPr>
          <w:rFonts w:cstheme="minorBidi"/>
          <w:i/>
          <w:iCs/>
          <w:sz w:val="20"/>
          <w:szCs w:val="20"/>
          <w:lang w:val="en-US"/>
        </w:rPr>
      </w:pPr>
      <w:r w:rsidRPr="00B07B0D">
        <w:rPr>
          <w:rFonts w:cstheme="minorBidi"/>
          <w:i/>
          <w:iCs/>
          <w:sz w:val="20"/>
          <w:szCs w:val="20"/>
          <w:lang w:val="en-US"/>
        </w:rPr>
        <w:t>Source</w:t>
      </w:r>
      <w:r w:rsidRPr="00FB43D1">
        <w:rPr>
          <w:rFonts w:cstheme="minorBidi"/>
          <w:iCs/>
          <w:sz w:val="20"/>
          <w:szCs w:val="20"/>
          <w:lang w:val="en-US"/>
        </w:rPr>
        <w:t>: Authors’ own research</w:t>
      </w:r>
    </w:p>
    <w:p w14:paraId="6B710EDE" w14:textId="77777777" w:rsidR="00E96923" w:rsidRPr="00B07B0D" w:rsidRDefault="00E96923" w:rsidP="004F4E27">
      <w:pPr>
        <w:rPr>
          <w:rFonts w:cstheme="minorBidi"/>
          <w:i/>
          <w:iCs/>
          <w:sz w:val="20"/>
          <w:szCs w:val="20"/>
          <w:lang w:val="en-US"/>
        </w:rPr>
      </w:pPr>
    </w:p>
    <w:p w14:paraId="22FEF231" w14:textId="749AA97F" w:rsidR="00E06433" w:rsidRPr="00B07B0D" w:rsidRDefault="00E06433" w:rsidP="004F4E27">
      <w:pPr>
        <w:rPr>
          <w:rFonts w:cstheme="minorBidi"/>
          <w:szCs w:val="22"/>
          <w:lang w:val="en-US"/>
        </w:rPr>
      </w:pPr>
      <w:r w:rsidRPr="00B07B0D">
        <w:rPr>
          <w:rFonts w:cstheme="minorBidi"/>
          <w:szCs w:val="22"/>
          <w:lang w:val="en-US"/>
        </w:rPr>
        <w:t>Most companies come from Sweden (143), Germany (104), and France (140), reflecting the predominance of developed economies in the sample. This geographical structure provides a relevant context for analyzing the impact of corporate governance structure on financial performance, given the legislative variations and corporate governance practices specific to each country.</w:t>
      </w:r>
    </w:p>
    <w:p w14:paraId="4700766A" w14:textId="77777777" w:rsidR="008D14F3" w:rsidRPr="00B07B0D" w:rsidRDefault="008D14F3" w:rsidP="004F4E27">
      <w:pPr>
        <w:rPr>
          <w:rFonts w:cstheme="minorBidi"/>
          <w:szCs w:val="22"/>
          <w:lang w:val="en-US"/>
        </w:rPr>
      </w:pPr>
    </w:p>
    <w:p w14:paraId="255ED4CC" w14:textId="2FF20ED3" w:rsidR="00305805" w:rsidRPr="00B07B0D" w:rsidRDefault="00305805" w:rsidP="004F4E27">
      <w:pPr>
        <w:rPr>
          <w:rFonts w:cstheme="minorBidi"/>
          <w:szCs w:val="22"/>
          <w:lang w:val="en-US"/>
        </w:rPr>
      </w:pPr>
      <w:r w:rsidRPr="00B07B0D">
        <w:rPr>
          <w:rFonts w:cstheme="minorBidi"/>
          <w:szCs w:val="22"/>
          <w:lang w:val="en-US"/>
        </w:rPr>
        <w:t xml:space="preserve">The distribution of companies in the sample by industry reflects their concentration in strategic economic sectors, indicating areas where corporate governance can significantly influence financial performance. The top 10 industries included in the sample are presented in Table </w:t>
      </w:r>
      <w:r w:rsidR="00FA1A37" w:rsidRPr="00B07B0D">
        <w:rPr>
          <w:rFonts w:cstheme="minorBidi"/>
          <w:szCs w:val="22"/>
          <w:lang w:val="en-US"/>
        </w:rPr>
        <w:t xml:space="preserve">no. </w:t>
      </w:r>
      <w:r w:rsidR="00177C17" w:rsidRPr="00B07B0D">
        <w:rPr>
          <w:rFonts w:cstheme="minorBidi"/>
          <w:szCs w:val="22"/>
          <w:lang w:val="en-US"/>
        </w:rPr>
        <w:t>3</w:t>
      </w:r>
      <w:r w:rsidRPr="00B07B0D">
        <w:rPr>
          <w:rFonts w:cstheme="minorBidi"/>
          <w:szCs w:val="22"/>
          <w:lang w:val="en-US"/>
        </w:rPr>
        <w:t xml:space="preserve">.  </w:t>
      </w:r>
    </w:p>
    <w:p w14:paraId="28E5EA6C" w14:textId="77777777" w:rsidR="008D14F3" w:rsidRPr="00B07B0D" w:rsidRDefault="008D14F3" w:rsidP="004F4E27">
      <w:pPr>
        <w:rPr>
          <w:rFonts w:cstheme="minorBidi"/>
          <w:szCs w:val="22"/>
          <w:lang w:val="en-US"/>
        </w:rPr>
      </w:pPr>
    </w:p>
    <w:p w14:paraId="7D6B31C5" w14:textId="43A5D01C" w:rsidR="00580590" w:rsidRPr="00B07B0D" w:rsidRDefault="00580590" w:rsidP="00801834">
      <w:pPr>
        <w:pStyle w:val="Caption"/>
        <w:rPr>
          <w:rFonts w:cstheme="minorBidi"/>
          <w:lang w:val="en-US"/>
        </w:rPr>
      </w:pPr>
      <w:bookmarkStart w:id="8" w:name="_Ref46424885"/>
      <w:r w:rsidRPr="00B07B0D">
        <w:rPr>
          <w:lang w:val="en-US"/>
        </w:rPr>
        <w:t xml:space="preserve">Table </w:t>
      </w:r>
      <w:bookmarkEnd w:id="8"/>
      <w:r w:rsidR="00177C17" w:rsidRPr="00B07B0D">
        <w:rPr>
          <w:lang w:val="en-US"/>
        </w:rPr>
        <w:t>3</w:t>
      </w:r>
      <w:r w:rsidR="00384D0C" w:rsidRPr="00B07B0D">
        <w:rPr>
          <w:lang w:val="en-US"/>
        </w:rPr>
        <w:t>.</w:t>
      </w:r>
      <w:r w:rsidRPr="00B07B0D">
        <w:rPr>
          <w:lang w:val="en-US"/>
        </w:rPr>
        <w:t xml:space="preserve"> </w:t>
      </w:r>
      <w:r w:rsidR="00696534" w:rsidRPr="00B07B0D">
        <w:rPr>
          <w:lang w:val="en-US"/>
        </w:rPr>
        <w:t>Top 10 industries of activity of companies in the 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3310"/>
        <w:gridCol w:w="979"/>
        <w:gridCol w:w="2569"/>
      </w:tblGrid>
      <w:tr w:rsidR="00107B20" w:rsidRPr="00B07B0D" w14:paraId="4E25A28C" w14:textId="25108933" w:rsidTr="00811552">
        <w:tc>
          <w:tcPr>
            <w:tcW w:w="512" w:type="dxa"/>
            <w:tcBorders>
              <w:top w:val="single" w:sz="4" w:space="0" w:color="auto"/>
              <w:bottom w:val="single" w:sz="4" w:space="0" w:color="auto"/>
            </w:tcBorders>
            <w:vAlign w:val="center"/>
          </w:tcPr>
          <w:p w14:paraId="1461582B" w14:textId="43407B99" w:rsidR="00070748" w:rsidRPr="00B07B0D" w:rsidRDefault="00070748" w:rsidP="00811552">
            <w:pPr>
              <w:jc w:val="center"/>
              <w:rPr>
                <w:rFonts w:cstheme="minorBidi"/>
                <w:b/>
                <w:bCs/>
                <w:sz w:val="20"/>
                <w:szCs w:val="20"/>
                <w:lang w:val="en-US"/>
              </w:rPr>
            </w:pPr>
            <w:r w:rsidRPr="00B07B0D">
              <w:rPr>
                <w:rFonts w:cstheme="minorBidi"/>
                <w:b/>
                <w:bCs/>
                <w:sz w:val="20"/>
                <w:szCs w:val="20"/>
                <w:lang w:val="en-US"/>
              </w:rPr>
              <w:t>No.</w:t>
            </w:r>
          </w:p>
        </w:tc>
        <w:tc>
          <w:tcPr>
            <w:tcW w:w="3424" w:type="dxa"/>
            <w:tcBorders>
              <w:top w:val="single" w:sz="4" w:space="0" w:color="auto"/>
              <w:bottom w:val="single" w:sz="4" w:space="0" w:color="auto"/>
            </w:tcBorders>
            <w:vAlign w:val="center"/>
          </w:tcPr>
          <w:p w14:paraId="75801800" w14:textId="0BA682B4" w:rsidR="00070748" w:rsidRPr="00B07B0D" w:rsidRDefault="00070748" w:rsidP="00811552">
            <w:pPr>
              <w:jc w:val="center"/>
              <w:rPr>
                <w:rFonts w:cstheme="minorBidi"/>
                <w:b/>
                <w:bCs/>
                <w:sz w:val="20"/>
                <w:szCs w:val="20"/>
                <w:lang w:val="en-US"/>
              </w:rPr>
            </w:pPr>
            <w:r w:rsidRPr="00B07B0D">
              <w:rPr>
                <w:rFonts w:cstheme="minorBidi"/>
                <w:b/>
                <w:bCs/>
                <w:sz w:val="20"/>
                <w:szCs w:val="20"/>
                <w:lang w:val="en-US"/>
              </w:rPr>
              <w:t>Industry Name</w:t>
            </w:r>
          </w:p>
        </w:tc>
        <w:tc>
          <w:tcPr>
            <w:tcW w:w="992" w:type="dxa"/>
            <w:tcBorders>
              <w:top w:val="single" w:sz="4" w:space="0" w:color="auto"/>
              <w:bottom w:val="single" w:sz="4" w:space="0" w:color="auto"/>
            </w:tcBorders>
            <w:vAlign w:val="center"/>
          </w:tcPr>
          <w:p w14:paraId="5A6FFEE7" w14:textId="1B92999B" w:rsidR="00070748" w:rsidRPr="00B07B0D" w:rsidRDefault="00070748" w:rsidP="00811552">
            <w:pPr>
              <w:jc w:val="center"/>
              <w:rPr>
                <w:rFonts w:cstheme="minorBidi"/>
                <w:b/>
                <w:bCs/>
                <w:sz w:val="20"/>
                <w:szCs w:val="20"/>
                <w:lang w:val="en-US"/>
              </w:rPr>
            </w:pPr>
            <w:r w:rsidRPr="00B07B0D">
              <w:rPr>
                <w:rFonts w:cstheme="minorBidi"/>
                <w:b/>
                <w:bCs/>
                <w:sz w:val="20"/>
                <w:szCs w:val="20"/>
                <w:lang w:val="en-US"/>
              </w:rPr>
              <w:t>Count</w:t>
            </w:r>
          </w:p>
        </w:tc>
        <w:tc>
          <w:tcPr>
            <w:tcW w:w="2658" w:type="dxa"/>
            <w:tcBorders>
              <w:top w:val="single" w:sz="4" w:space="0" w:color="auto"/>
              <w:bottom w:val="single" w:sz="4" w:space="0" w:color="auto"/>
            </w:tcBorders>
            <w:vAlign w:val="center"/>
          </w:tcPr>
          <w:p w14:paraId="066C319D" w14:textId="63602ACA" w:rsidR="00070748" w:rsidRPr="00B07B0D" w:rsidRDefault="00070748" w:rsidP="00811552">
            <w:pPr>
              <w:jc w:val="center"/>
              <w:rPr>
                <w:rFonts w:cstheme="minorBidi"/>
                <w:b/>
                <w:bCs/>
                <w:sz w:val="20"/>
                <w:szCs w:val="20"/>
                <w:lang w:val="en-US"/>
              </w:rPr>
            </w:pPr>
            <w:r w:rsidRPr="00B07B0D">
              <w:rPr>
                <w:rFonts w:cstheme="minorBidi"/>
                <w:b/>
                <w:bCs/>
                <w:sz w:val="20"/>
                <w:szCs w:val="20"/>
                <w:lang w:val="en-US"/>
              </w:rPr>
              <w:t xml:space="preserve">% company no. out </w:t>
            </w:r>
            <w:r w:rsidR="00B77B0D">
              <w:rPr>
                <w:rFonts w:cstheme="minorBidi"/>
                <w:b/>
                <w:bCs/>
                <w:sz w:val="20"/>
                <w:szCs w:val="20"/>
                <w:lang w:val="en-US"/>
              </w:rPr>
              <w:br/>
            </w:r>
            <w:r w:rsidRPr="00B07B0D">
              <w:rPr>
                <w:rFonts w:cstheme="minorBidi"/>
                <w:b/>
                <w:bCs/>
                <w:sz w:val="20"/>
                <w:szCs w:val="20"/>
                <w:lang w:val="en-US"/>
              </w:rPr>
              <w:t>of a total of 884</w:t>
            </w:r>
          </w:p>
        </w:tc>
      </w:tr>
      <w:tr w:rsidR="00107B20" w:rsidRPr="00B07B0D" w14:paraId="3B14BDCC" w14:textId="7FB7FD78" w:rsidTr="00070748">
        <w:tc>
          <w:tcPr>
            <w:tcW w:w="512" w:type="dxa"/>
            <w:tcBorders>
              <w:top w:val="single" w:sz="4" w:space="0" w:color="auto"/>
            </w:tcBorders>
          </w:tcPr>
          <w:p w14:paraId="14D9BA17" w14:textId="169ED8D7" w:rsidR="00070748" w:rsidRPr="00B07B0D" w:rsidRDefault="00070748" w:rsidP="00070748">
            <w:pPr>
              <w:jc w:val="left"/>
              <w:rPr>
                <w:rFonts w:cstheme="minorBidi"/>
                <w:sz w:val="20"/>
                <w:szCs w:val="20"/>
                <w:lang w:val="en-US"/>
              </w:rPr>
            </w:pPr>
            <w:r w:rsidRPr="00B07B0D">
              <w:rPr>
                <w:rFonts w:cstheme="minorBidi"/>
                <w:sz w:val="20"/>
                <w:szCs w:val="20"/>
                <w:lang w:val="en-US"/>
              </w:rPr>
              <w:t>1</w:t>
            </w:r>
          </w:p>
        </w:tc>
        <w:tc>
          <w:tcPr>
            <w:tcW w:w="3424" w:type="dxa"/>
            <w:tcBorders>
              <w:top w:val="single" w:sz="4" w:space="0" w:color="auto"/>
            </w:tcBorders>
            <w:vAlign w:val="bottom"/>
          </w:tcPr>
          <w:p w14:paraId="7FC4C70A" w14:textId="652794D0" w:rsidR="00070748" w:rsidRPr="00B07B0D" w:rsidRDefault="00070748" w:rsidP="00070748">
            <w:pPr>
              <w:jc w:val="left"/>
              <w:rPr>
                <w:rFonts w:cstheme="minorBidi"/>
                <w:sz w:val="20"/>
                <w:szCs w:val="20"/>
                <w:lang w:val="en-US"/>
              </w:rPr>
            </w:pPr>
            <w:r w:rsidRPr="00B07B0D">
              <w:rPr>
                <w:rFonts w:cstheme="minorBidi"/>
                <w:sz w:val="20"/>
                <w:szCs w:val="20"/>
                <w:lang w:val="en-US"/>
              </w:rPr>
              <w:t>Machinery</w:t>
            </w:r>
          </w:p>
        </w:tc>
        <w:tc>
          <w:tcPr>
            <w:tcW w:w="992" w:type="dxa"/>
            <w:tcBorders>
              <w:top w:val="single" w:sz="4" w:space="0" w:color="auto"/>
            </w:tcBorders>
            <w:vAlign w:val="bottom"/>
          </w:tcPr>
          <w:p w14:paraId="39D149C9" w14:textId="2A779DCE" w:rsidR="00070748" w:rsidRPr="00B07B0D" w:rsidRDefault="00070748" w:rsidP="002E46A9">
            <w:pPr>
              <w:jc w:val="center"/>
              <w:rPr>
                <w:rFonts w:cstheme="minorBidi"/>
                <w:sz w:val="20"/>
                <w:szCs w:val="20"/>
                <w:lang w:val="en-US"/>
              </w:rPr>
            </w:pPr>
            <w:r w:rsidRPr="00B07B0D">
              <w:rPr>
                <w:rFonts w:cstheme="minorBidi"/>
                <w:sz w:val="20"/>
                <w:szCs w:val="20"/>
                <w:lang w:val="en-US"/>
              </w:rPr>
              <w:t>58</w:t>
            </w:r>
          </w:p>
        </w:tc>
        <w:tc>
          <w:tcPr>
            <w:tcW w:w="2658" w:type="dxa"/>
            <w:tcBorders>
              <w:top w:val="single" w:sz="4" w:space="0" w:color="auto"/>
            </w:tcBorders>
            <w:vAlign w:val="bottom"/>
          </w:tcPr>
          <w:p w14:paraId="5083CF97" w14:textId="49EDB7EF" w:rsidR="00070748" w:rsidRPr="00B07B0D" w:rsidRDefault="00070748" w:rsidP="002E46A9">
            <w:pPr>
              <w:jc w:val="center"/>
              <w:rPr>
                <w:rFonts w:cstheme="minorBidi"/>
                <w:sz w:val="20"/>
                <w:szCs w:val="20"/>
                <w:lang w:val="en-US"/>
              </w:rPr>
            </w:pPr>
            <w:r w:rsidRPr="00B07B0D">
              <w:rPr>
                <w:rFonts w:cstheme="minorBidi"/>
                <w:sz w:val="20"/>
                <w:szCs w:val="20"/>
                <w:lang w:val="en-US"/>
              </w:rPr>
              <w:t>6.56%</w:t>
            </w:r>
          </w:p>
        </w:tc>
      </w:tr>
      <w:tr w:rsidR="00107B20" w:rsidRPr="00B07B0D" w14:paraId="22D64864" w14:textId="6BBFBC61" w:rsidTr="00070748">
        <w:tc>
          <w:tcPr>
            <w:tcW w:w="512" w:type="dxa"/>
          </w:tcPr>
          <w:p w14:paraId="25C21BFE" w14:textId="66F170EB" w:rsidR="00070748" w:rsidRPr="00B07B0D" w:rsidRDefault="00070748" w:rsidP="00070748">
            <w:pPr>
              <w:jc w:val="left"/>
              <w:rPr>
                <w:rFonts w:cstheme="minorBidi"/>
                <w:sz w:val="20"/>
                <w:szCs w:val="20"/>
                <w:lang w:val="en-US"/>
              </w:rPr>
            </w:pPr>
            <w:r w:rsidRPr="00B07B0D">
              <w:rPr>
                <w:rFonts w:cstheme="minorBidi"/>
                <w:sz w:val="20"/>
                <w:szCs w:val="20"/>
                <w:lang w:val="en-US"/>
              </w:rPr>
              <w:t>2</w:t>
            </w:r>
          </w:p>
        </w:tc>
        <w:tc>
          <w:tcPr>
            <w:tcW w:w="3424" w:type="dxa"/>
            <w:vAlign w:val="bottom"/>
          </w:tcPr>
          <w:p w14:paraId="22B8B3CB" w14:textId="3A84CD99" w:rsidR="00070748" w:rsidRPr="00B07B0D" w:rsidRDefault="00070748" w:rsidP="00070748">
            <w:pPr>
              <w:jc w:val="left"/>
              <w:rPr>
                <w:rFonts w:cstheme="minorBidi"/>
                <w:sz w:val="20"/>
                <w:szCs w:val="20"/>
                <w:lang w:val="en-US"/>
              </w:rPr>
            </w:pPr>
            <w:r w:rsidRPr="00B07B0D">
              <w:rPr>
                <w:rFonts w:cstheme="minorBidi"/>
                <w:sz w:val="20"/>
                <w:szCs w:val="20"/>
                <w:lang w:val="en-US"/>
              </w:rPr>
              <w:t>Banks</w:t>
            </w:r>
          </w:p>
        </w:tc>
        <w:tc>
          <w:tcPr>
            <w:tcW w:w="992" w:type="dxa"/>
            <w:vAlign w:val="bottom"/>
          </w:tcPr>
          <w:p w14:paraId="3AF0A5A9" w14:textId="3FB62C55" w:rsidR="00070748" w:rsidRPr="00B07B0D" w:rsidRDefault="00070748" w:rsidP="002E46A9">
            <w:pPr>
              <w:jc w:val="center"/>
              <w:rPr>
                <w:rFonts w:cstheme="minorBidi"/>
                <w:sz w:val="20"/>
                <w:szCs w:val="20"/>
                <w:lang w:val="en-US"/>
              </w:rPr>
            </w:pPr>
            <w:r w:rsidRPr="00B07B0D">
              <w:rPr>
                <w:rFonts w:cstheme="minorBidi"/>
                <w:sz w:val="20"/>
                <w:szCs w:val="20"/>
                <w:lang w:val="en-US"/>
              </w:rPr>
              <w:t>56</w:t>
            </w:r>
          </w:p>
        </w:tc>
        <w:tc>
          <w:tcPr>
            <w:tcW w:w="2658" w:type="dxa"/>
            <w:vAlign w:val="bottom"/>
          </w:tcPr>
          <w:p w14:paraId="35AABDFD" w14:textId="4ACF90EB" w:rsidR="00070748" w:rsidRPr="00B07B0D" w:rsidRDefault="00070748" w:rsidP="002E46A9">
            <w:pPr>
              <w:jc w:val="center"/>
              <w:rPr>
                <w:rFonts w:cstheme="minorBidi"/>
                <w:sz w:val="20"/>
                <w:szCs w:val="20"/>
                <w:lang w:val="en-US"/>
              </w:rPr>
            </w:pPr>
            <w:r w:rsidRPr="00B07B0D">
              <w:rPr>
                <w:rFonts w:cstheme="minorBidi"/>
                <w:sz w:val="20"/>
                <w:szCs w:val="20"/>
                <w:lang w:val="en-US"/>
              </w:rPr>
              <w:t>6.33%</w:t>
            </w:r>
          </w:p>
        </w:tc>
      </w:tr>
      <w:tr w:rsidR="00107B20" w:rsidRPr="00B07B0D" w14:paraId="5F225F2C" w14:textId="72476A59" w:rsidTr="00070748">
        <w:tc>
          <w:tcPr>
            <w:tcW w:w="512" w:type="dxa"/>
          </w:tcPr>
          <w:p w14:paraId="11A3EF69" w14:textId="5785DCC8" w:rsidR="00070748" w:rsidRPr="00B07B0D" w:rsidRDefault="00070748" w:rsidP="00070748">
            <w:pPr>
              <w:jc w:val="left"/>
              <w:rPr>
                <w:rFonts w:cstheme="minorBidi"/>
                <w:sz w:val="20"/>
                <w:szCs w:val="20"/>
                <w:lang w:val="en-US"/>
              </w:rPr>
            </w:pPr>
            <w:r w:rsidRPr="00B07B0D">
              <w:rPr>
                <w:rFonts w:cstheme="minorBidi"/>
                <w:sz w:val="20"/>
                <w:szCs w:val="20"/>
                <w:lang w:val="en-US"/>
              </w:rPr>
              <w:t>3</w:t>
            </w:r>
          </w:p>
        </w:tc>
        <w:tc>
          <w:tcPr>
            <w:tcW w:w="3424" w:type="dxa"/>
            <w:vAlign w:val="bottom"/>
          </w:tcPr>
          <w:p w14:paraId="592442C5" w14:textId="51767065" w:rsidR="00070748" w:rsidRPr="00B07B0D" w:rsidRDefault="00070748" w:rsidP="00070748">
            <w:pPr>
              <w:jc w:val="left"/>
              <w:rPr>
                <w:rFonts w:cstheme="minorBidi"/>
                <w:sz w:val="20"/>
                <w:szCs w:val="20"/>
                <w:lang w:val="en-US"/>
              </w:rPr>
            </w:pPr>
            <w:r w:rsidRPr="00B07B0D">
              <w:rPr>
                <w:rFonts w:cstheme="minorBidi"/>
                <w:sz w:val="20"/>
                <w:szCs w:val="20"/>
                <w:lang w:val="en-US"/>
              </w:rPr>
              <w:t xml:space="preserve">Real Estate Management </w:t>
            </w:r>
            <w:r w:rsidR="003A5409">
              <w:rPr>
                <w:rFonts w:cstheme="minorBidi"/>
                <w:sz w:val="20"/>
                <w:szCs w:val="20"/>
                <w:lang w:val="en-US"/>
              </w:rPr>
              <w:t>and</w:t>
            </w:r>
            <w:r w:rsidRPr="00B07B0D">
              <w:rPr>
                <w:rFonts w:cstheme="minorBidi"/>
                <w:sz w:val="20"/>
                <w:szCs w:val="20"/>
                <w:lang w:val="en-US"/>
              </w:rPr>
              <w:t xml:space="preserve"> Development</w:t>
            </w:r>
          </w:p>
        </w:tc>
        <w:tc>
          <w:tcPr>
            <w:tcW w:w="992" w:type="dxa"/>
            <w:vAlign w:val="bottom"/>
          </w:tcPr>
          <w:p w14:paraId="2FCEE52D" w14:textId="17F7719F" w:rsidR="00070748" w:rsidRPr="00B07B0D" w:rsidRDefault="00070748" w:rsidP="002E46A9">
            <w:pPr>
              <w:jc w:val="center"/>
              <w:rPr>
                <w:rFonts w:cstheme="minorBidi"/>
                <w:sz w:val="20"/>
                <w:szCs w:val="20"/>
                <w:lang w:val="en-US"/>
              </w:rPr>
            </w:pPr>
            <w:r w:rsidRPr="00B07B0D">
              <w:rPr>
                <w:rFonts w:cstheme="minorBidi"/>
                <w:sz w:val="20"/>
                <w:szCs w:val="20"/>
                <w:lang w:val="en-US"/>
              </w:rPr>
              <w:t>33</w:t>
            </w:r>
          </w:p>
        </w:tc>
        <w:tc>
          <w:tcPr>
            <w:tcW w:w="2658" w:type="dxa"/>
            <w:vAlign w:val="bottom"/>
          </w:tcPr>
          <w:p w14:paraId="38C7D790" w14:textId="0ACEA9F8" w:rsidR="00070748" w:rsidRPr="00B07B0D" w:rsidRDefault="00070748" w:rsidP="002E46A9">
            <w:pPr>
              <w:jc w:val="center"/>
              <w:rPr>
                <w:rFonts w:cstheme="minorBidi"/>
                <w:sz w:val="20"/>
                <w:szCs w:val="20"/>
                <w:lang w:val="en-US"/>
              </w:rPr>
            </w:pPr>
            <w:r w:rsidRPr="00B07B0D">
              <w:rPr>
                <w:rFonts w:cstheme="minorBidi"/>
                <w:sz w:val="20"/>
                <w:szCs w:val="20"/>
                <w:lang w:val="en-US"/>
              </w:rPr>
              <w:t>3.73%</w:t>
            </w:r>
          </w:p>
        </w:tc>
      </w:tr>
      <w:tr w:rsidR="00107B20" w:rsidRPr="00B07B0D" w14:paraId="165E5A3F" w14:textId="65A57345" w:rsidTr="00070748">
        <w:tc>
          <w:tcPr>
            <w:tcW w:w="512" w:type="dxa"/>
          </w:tcPr>
          <w:p w14:paraId="44AA127F" w14:textId="0FF17C47" w:rsidR="00070748" w:rsidRPr="00B07B0D" w:rsidRDefault="00070748" w:rsidP="00070748">
            <w:pPr>
              <w:jc w:val="left"/>
              <w:rPr>
                <w:rFonts w:cstheme="minorBidi"/>
                <w:sz w:val="20"/>
                <w:szCs w:val="20"/>
                <w:lang w:val="en-US"/>
              </w:rPr>
            </w:pPr>
            <w:r w:rsidRPr="00B07B0D">
              <w:rPr>
                <w:rFonts w:cstheme="minorBidi"/>
                <w:sz w:val="20"/>
                <w:szCs w:val="20"/>
                <w:lang w:val="en-US"/>
              </w:rPr>
              <w:t>4</w:t>
            </w:r>
          </w:p>
        </w:tc>
        <w:tc>
          <w:tcPr>
            <w:tcW w:w="3424" w:type="dxa"/>
            <w:vAlign w:val="bottom"/>
          </w:tcPr>
          <w:p w14:paraId="4B94611C" w14:textId="3707E39F" w:rsidR="00070748" w:rsidRPr="00B07B0D" w:rsidRDefault="00070748" w:rsidP="00070748">
            <w:pPr>
              <w:jc w:val="left"/>
              <w:rPr>
                <w:rFonts w:cstheme="minorBidi"/>
                <w:sz w:val="20"/>
                <w:szCs w:val="20"/>
                <w:lang w:val="en-US"/>
              </w:rPr>
            </w:pPr>
            <w:r w:rsidRPr="00B07B0D">
              <w:rPr>
                <w:rFonts w:cstheme="minorBidi"/>
                <w:sz w:val="20"/>
                <w:szCs w:val="20"/>
                <w:lang w:val="en-US"/>
              </w:rPr>
              <w:t>Capital Markets</w:t>
            </w:r>
          </w:p>
        </w:tc>
        <w:tc>
          <w:tcPr>
            <w:tcW w:w="992" w:type="dxa"/>
            <w:vAlign w:val="bottom"/>
          </w:tcPr>
          <w:p w14:paraId="7A202C51" w14:textId="355B5454" w:rsidR="00070748" w:rsidRPr="00B07B0D" w:rsidRDefault="00070748" w:rsidP="002E46A9">
            <w:pPr>
              <w:jc w:val="center"/>
              <w:rPr>
                <w:rFonts w:cstheme="minorBidi"/>
                <w:sz w:val="20"/>
                <w:szCs w:val="20"/>
                <w:lang w:val="en-US"/>
              </w:rPr>
            </w:pPr>
            <w:r w:rsidRPr="00B07B0D">
              <w:rPr>
                <w:rFonts w:cstheme="minorBidi"/>
                <w:sz w:val="20"/>
                <w:szCs w:val="20"/>
                <w:lang w:val="en-US"/>
              </w:rPr>
              <w:t>28</w:t>
            </w:r>
          </w:p>
        </w:tc>
        <w:tc>
          <w:tcPr>
            <w:tcW w:w="2658" w:type="dxa"/>
            <w:vAlign w:val="bottom"/>
          </w:tcPr>
          <w:p w14:paraId="1744149B" w14:textId="0BBEEE10" w:rsidR="00070748" w:rsidRPr="00B07B0D" w:rsidRDefault="00070748" w:rsidP="002E46A9">
            <w:pPr>
              <w:jc w:val="center"/>
              <w:rPr>
                <w:rFonts w:cstheme="minorBidi"/>
                <w:sz w:val="20"/>
                <w:szCs w:val="20"/>
                <w:lang w:val="en-US"/>
              </w:rPr>
            </w:pPr>
            <w:r w:rsidRPr="00B07B0D">
              <w:rPr>
                <w:rFonts w:cstheme="minorBidi"/>
                <w:sz w:val="20"/>
                <w:szCs w:val="20"/>
                <w:lang w:val="en-US"/>
              </w:rPr>
              <w:t>3.17%</w:t>
            </w:r>
          </w:p>
        </w:tc>
      </w:tr>
      <w:tr w:rsidR="00107B20" w:rsidRPr="00B07B0D" w14:paraId="37180F4C" w14:textId="29D73F6C" w:rsidTr="00070748">
        <w:tc>
          <w:tcPr>
            <w:tcW w:w="512" w:type="dxa"/>
          </w:tcPr>
          <w:p w14:paraId="3CB8EC04" w14:textId="3E395D93" w:rsidR="00070748" w:rsidRPr="00B07B0D" w:rsidRDefault="00070748" w:rsidP="00070748">
            <w:pPr>
              <w:jc w:val="left"/>
              <w:rPr>
                <w:rFonts w:cstheme="minorBidi"/>
                <w:sz w:val="20"/>
                <w:szCs w:val="20"/>
                <w:lang w:val="en-US"/>
              </w:rPr>
            </w:pPr>
            <w:r w:rsidRPr="00B07B0D">
              <w:rPr>
                <w:rFonts w:cstheme="minorBidi"/>
                <w:sz w:val="20"/>
                <w:szCs w:val="20"/>
                <w:lang w:val="en-US"/>
              </w:rPr>
              <w:t>5</w:t>
            </w:r>
          </w:p>
        </w:tc>
        <w:tc>
          <w:tcPr>
            <w:tcW w:w="3424" w:type="dxa"/>
            <w:vAlign w:val="bottom"/>
          </w:tcPr>
          <w:p w14:paraId="1D433A16" w14:textId="44B42DF8" w:rsidR="00070748" w:rsidRPr="00B07B0D" w:rsidRDefault="00070748" w:rsidP="00070748">
            <w:pPr>
              <w:jc w:val="left"/>
              <w:rPr>
                <w:rFonts w:cstheme="minorBidi"/>
                <w:sz w:val="20"/>
                <w:szCs w:val="20"/>
                <w:lang w:val="en-US"/>
              </w:rPr>
            </w:pPr>
            <w:r w:rsidRPr="00B07B0D">
              <w:rPr>
                <w:rFonts w:cstheme="minorBidi"/>
                <w:sz w:val="20"/>
                <w:szCs w:val="20"/>
                <w:lang w:val="en-US"/>
              </w:rPr>
              <w:t>Food Products</w:t>
            </w:r>
          </w:p>
        </w:tc>
        <w:tc>
          <w:tcPr>
            <w:tcW w:w="992" w:type="dxa"/>
            <w:vAlign w:val="bottom"/>
          </w:tcPr>
          <w:p w14:paraId="2698F0D7" w14:textId="36BFA398" w:rsidR="00070748" w:rsidRPr="00B07B0D" w:rsidRDefault="00070748" w:rsidP="002E46A9">
            <w:pPr>
              <w:jc w:val="center"/>
              <w:rPr>
                <w:rFonts w:cstheme="minorBidi"/>
                <w:sz w:val="20"/>
                <w:szCs w:val="20"/>
                <w:lang w:val="en-US"/>
              </w:rPr>
            </w:pPr>
            <w:r w:rsidRPr="00B07B0D">
              <w:rPr>
                <w:rFonts w:cstheme="minorBidi"/>
                <w:sz w:val="20"/>
                <w:szCs w:val="20"/>
                <w:lang w:val="en-US"/>
              </w:rPr>
              <w:t>27</w:t>
            </w:r>
          </w:p>
        </w:tc>
        <w:tc>
          <w:tcPr>
            <w:tcW w:w="2658" w:type="dxa"/>
            <w:vAlign w:val="bottom"/>
          </w:tcPr>
          <w:p w14:paraId="41A8E627" w14:textId="70F3D881" w:rsidR="00070748" w:rsidRPr="00B07B0D" w:rsidRDefault="00070748" w:rsidP="002E46A9">
            <w:pPr>
              <w:jc w:val="center"/>
              <w:rPr>
                <w:rFonts w:cstheme="minorBidi"/>
                <w:sz w:val="20"/>
                <w:szCs w:val="20"/>
                <w:lang w:val="en-US"/>
              </w:rPr>
            </w:pPr>
            <w:r w:rsidRPr="00B07B0D">
              <w:rPr>
                <w:rFonts w:cstheme="minorBidi"/>
                <w:sz w:val="20"/>
                <w:szCs w:val="20"/>
                <w:lang w:val="en-US"/>
              </w:rPr>
              <w:t>3.05%</w:t>
            </w:r>
          </w:p>
        </w:tc>
      </w:tr>
      <w:tr w:rsidR="00107B20" w:rsidRPr="00B07B0D" w14:paraId="5D8E3D10" w14:textId="079250CB" w:rsidTr="00070748">
        <w:tc>
          <w:tcPr>
            <w:tcW w:w="512" w:type="dxa"/>
          </w:tcPr>
          <w:p w14:paraId="310F9E04" w14:textId="39C7A991" w:rsidR="00070748" w:rsidRPr="00B07B0D" w:rsidRDefault="00070748" w:rsidP="00070748">
            <w:pPr>
              <w:jc w:val="left"/>
              <w:rPr>
                <w:rFonts w:cstheme="minorBidi"/>
                <w:sz w:val="20"/>
                <w:szCs w:val="20"/>
                <w:lang w:val="en-US"/>
              </w:rPr>
            </w:pPr>
            <w:r w:rsidRPr="00B07B0D">
              <w:rPr>
                <w:rFonts w:cstheme="minorBidi"/>
                <w:sz w:val="20"/>
                <w:szCs w:val="20"/>
                <w:lang w:val="en-US"/>
              </w:rPr>
              <w:t>6</w:t>
            </w:r>
          </w:p>
        </w:tc>
        <w:tc>
          <w:tcPr>
            <w:tcW w:w="3424" w:type="dxa"/>
            <w:vAlign w:val="bottom"/>
          </w:tcPr>
          <w:p w14:paraId="3F2DDD44" w14:textId="78FAA32D" w:rsidR="00070748" w:rsidRPr="00B07B0D" w:rsidRDefault="00070748" w:rsidP="00070748">
            <w:pPr>
              <w:jc w:val="left"/>
              <w:rPr>
                <w:rFonts w:cstheme="minorBidi"/>
                <w:sz w:val="20"/>
                <w:szCs w:val="20"/>
                <w:lang w:val="en-US"/>
              </w:rPr>
            </w:pPr>
            <w:r w:rsidRPr="00B07B0D">
              <w:rPr>
                <w:rFonts w:cstheme="minorBidi"/>
                <w:sz w:val="20"/>
                <w:szCs w:val="20"/>
                <w:lang w:val="en-US"/>
              </w:rPr>
              <w:t xml:space="preserve">Oil, Gas </w:t>
            </w:r>
            <w:r w:rsidR="003A5409">
              <w:rPr>
                <w:rFonts w:cstheme="minorBidi"/>
                <w:sz w:val="20"/>
                <w:szCs w:val="20"/>
                <w:lang w:val="en-US"/>
              </w:rPr>
              <w:t>and</w:t>
            </w:r>
            <w:r w:rsidRPr="00B07B0D">
              <w:rPr>
                <w:rFonts w:cstheme="minorBidi"/>
                <w:sz w:val="20"/>
                <w:szCs w:val="20"/>
                <w:lang w:val="en-US"/>
              </w:rPr>
              <w:t xml:space="preserve"> Consumable Fuels</w:t>
            </w:r>
          </w:p>
        </w:tc>
        <w:tc>
          <w:tcPr>
            <w:tcW w:w="992" w:type="dxa"/>
            <w:vAlign w:val="bottom"/>
          </w:tcPr>
          <w:p w14:paraId="6F94B287" w14:textId="55C5C858" w:rsidR="00070748" w:rsidRPr="00B07B0D" w:rsidRDefault="00070748" w:rsidP="002E46A9">
            <w:pPr>
              <w:jc w:val="center"/>
              <w:rPr>
                <w:rFonts w:cstheme="minorBidi"/>
                <w:sz w:val="20"/>
                <w:szCs w:val="20"/>
                <w:lang w:val="en-US"/>
              </w:rPr>
            </w:pPr>
            <w:r w:rsidRPr="00B07B0D">
              <w:rPr>
                <w:rFonts w:cstheme="minorBidi"/>
                <w:sz w:val="20"/>
                <w:szCs w:val="20"/>
                <w:lang w:val="en-US"/>
              </w:rPr>
              <w:t>26</w:t>
            </w:r>
          </w:p>
        </w:tc>
        <w:tc>
          <w:tcPr>
            <w:tcW w:w="2658" w:type="dxa"/>
            <w:vAlign w:val="bottom"/>
          </w:tcPr>
          <w:p w14:paraId="1332416F" w14:textId="1FA3BEFF" w:rsidR="00070748" w:rsidRPr="00B07B0D" w:rsidRDefault="00070748" w:rsidP="002E46A9">
            <w:pPr>
              <w:jc w:val="center"/>
              <w:rPr>
                <w:rFonts w:cstheme="minorBidi"/>
                <w:sz w:val="20"/>
                <w:szCs w:val="20"/>
                <w:lang w:val="en-US"/>
              </w:rPr>
            </w:pPr>
            <w:r w:rsidRPr="00B07B0D">
              <w:rPr>
                <w:rFonts w:cstheme="minorBidi"/>
                <w:sz w:val="20"/>
                <w:szCs w:val="20"/>
                <w:lang w:val="en-US"/>
              </w:rPr>
              <w:t>2.94%</w:t>
            </w:r>
          </w:p>
        </w:tc>
      </w:tr>
      <w:tr w:rsidR="00107B20" w:rsidRPr="00B07B0D" w14:paraId="5D5C787C" w14:textId="0A04EFF5" w:rsidTr="00070748">
        <w:tc>
          <w:tcPr>
            <w:tcW w:w="512" w:type="dxa"/>
          </w:tcPr>
          <w:p w14:paraId="34C973F7" w14:textId="3BC0FF5C" w:rsidR="00070748" w:rsidRPr="00B07B0D" w:rsidRDefault="00070748" w:rsidP="00070748">
            <w:pPr>
              <w:jc w:val="left"/>
              <w:rPr>
                <w:rFonts w:cstheme="minorBidi"/>
                <w:sz w:val="20"/>
                <w:szCs w:val="20"/>
                <w:lang w:val="en-US"/>
              </w:rPr>
            </w:pPr>
            <w:r w:rsidRPr="00B07B0D">
              <w:rPr>
                <w:rFonts w:cstheme="minorBidi"/>
                <w:sz w:val="20"/>
                <w:szCs w:val="20"/>
                <w:lang w:val="en-US"/>
              </w:rPr>
              <w:t>7</w:t>
            </w:r>
          </w:p>
        </w:tc>
        <w:tc>
          <w:tcPr>
            <w:tcW w:w="3424" w:type="dxa"/>
            <w:vAlign w:val="bottom"/>
          </w:tcPr>
          <w:p w14:paraId="2F72ACD0" w14:textId="6F92B01E" w:rsidR="00070748" w:rsidRPr="00B07B0D" w:rsidRDefault="00070748" w:rsidP="00070748">
            <w:pPr>
              <w:jc w:val="left"/>
              <w:rPr>
                <w:rFonts w:cstheme="minorBidi"/>
                <w:sz w:val="20"/>
                <w:szCs w:val="20"/>
                <w:lang w:val="en-US"/>
              </w:rPr>
            </w:pPr>
            <w:r w:rsidRPr="00B07B0D">
              <w:rPr>
                <w:rFonts w:cstheme="minorBidi"/>
                <w:sz w:val="20"/>
                <w:szCs w:val="20"/>
                <w:lang w:val="en-US"/>
              </w:rPr>
              <w:t>Chemicals</w:t>
            </w:r>
          </w:p>
        </w:tc>
        <w:tc>
          <w:tcPr>
            <w:tcW w:w="992" w:type="dxa"/>
            <w:vAlign w:val="bottom"/>
          </w:tcPr>
          <w:p w14:paraId="13543365" w14:textId="67E30D1C" w:rsidR="00070748" w:rsidRPr="00B07B0D" w:rsidRDefault="00070748" w:rsidP="002E46A9">
            <w:pPr>
              <w:jc w:val="center"/>
              <w:rPr>
                <w:rFonts w:cstheme="minorBidi"/>
                <w:sz w:val="20"/>
                <w:szCs w:val="20"/>
                <w:lang w:val="en-US"/>
              </w:rPr>
            </w:pPr>
            <w:r w:rsidRPr="00B07B0D">
              <w:rPr>
                <w:rFonts w:cstheme="minorBidi"/>
                <w:sz w:val="20"/>
                <w:szCs w:val="20"/>
                <w:lang w:val="en-US"/>
              </w:rPr>
              <w:t>25</w:t>
            </w:r>
          </w:p>
        </w:tc>
        <w:tc>
          <w:tcPr>
            <w:tcW w:w="2658" w:type="dxa"/>
            <w:vAlign w:val="bottom"/>
          </w:tcPr>
          <w:p w14:paraId="7A76390E" w14:textId="0C7AC829" w:rsidR="00070748" w:rsidRPr="00B07B0D" w:rsidRDefault="00070748" w:rsidP="002E46A9">
            <w:pPr>
              <w:jc w:val="center"/>
              <w:rPr>
                <w:rFonts w:cstheme="minorBidi"/>
                <w:sz w:val="20"/>
                <w:szCs w:val="20"/>
                <w:lang w:val="en-US"/>
              </w:rPr>
            </w:pPr>
            <w:r w:rsidRPr="00B07B0D">
              <w:rPr>
                <w:rFonts w:cstheme="minorBidi"/>
                <w:sz w:val="20"/>
                <w:szCs w:val="20"/>
                <w:lang w:val="en-US"/>
              </w:rPr>
              <w:t>2.83%</w:t>
            </w:r>
          </w:p>
        </w:tc>
      </w:tr>
      <w:tr w:rsidR="00107B20" w:rsidRPr="00B07B0D" w14:paraId="1737975E" w14:textId="77777777" w:rsidTr="00070748">
        <w:tc>
          <w:tcPr>
            <w:tcW w:w="512" w:type="dxa"/>
          </w:tcPr>
          <w:p w14:paraId="7F66B0CC" w14:textId="107D331D" w:rsidR="00070748" w:rsidRPr="00B07B0D" w:rsidRDefault="00070748" w:rsidP="00070748">
            <w:pPr>
              <w:jc w:val="left"/>
              <w:rPr>
                <w:rFonts w:cstheme="minorBidi"/>
                <w:sz w:val="20"/>
                <w:szCs w:val="20"/>
                <w:lang w:val="en-US"/>
              </w:rPr>
            </w:pPr>
            <w:r w:rsidRPr="00B07B0D">
              <w:rPr>
                <w:rFonts w:cstheme="minorBidi"/>
                <w:sz w:val="20"/>
                <w:szCs w:val="20"/>
                <w:lang w:val="en-US"/>
              </w:rPr>
              <w:t>8</w:t>
            </w:r>
          </w:p>
        </w:tc>
        <w:tc>
          <w:tcPr>
            <w:tcW w:w="3424" w:type="dxa"/>
            <w:vAlign w:val="bottom"/>
          </w:tcPr>
          <w:p w14:paraId="21998264" w14:textId="311E6F12" w:rsidR="00070748" w:rsidRPr="00B07B0D" w:rsidRDefault="00070748" w:rsidP="00070748">
            <w:pPr>
              <w:jc w:val="left"/>
              <w:rPr>
                <w:rFonts w:cstheme="minorBidi"/>
                <w:sz w:val="20"/>
                <w:szCs w:val="20"/>
                <w:lang w:val="en-US"/>
              </w:rPr>
            </w:pPr>
            <w:r w:rsidRPr="00B07B0D">
              <w:rPr>
                <w:rFonts w:cstheme="minorBidi"/>
                <w:sz w:val="20"/>
                <w:szCs w:val="20"/>
                <w:lang w:val="en-US"/>
              </w:rPr>
              <w:t xml:space="preserve">Construction </w:t>
            </w:r>
            <w:r w:rsidR="003A5409">
              <w:rPr>
                <w:rFonts w:cstheme="minorBidi"/>
                <w:sz w:val="20"/>
                <w:szCs w:val="20"/>
                <w:lang w:val="en-US"/>
              </w:rPr>
              <w:t>and</w:t>
            </w:r>
            <w:r w:rsidRPr="00B07B0D">
              <w:rPr>
                <w:rFonts w:cstheme="minorBidi"/>
                <w:sz w:val="20"/>
                <w:szCs w:val="20"/>
                <w:lang w:val="en-US"/>
              </w:rPr>
              <w:t xml:space="preserve"> Engineering</w:t>
            </w:r>
          </w:p>
        </w:tc>
        <w:tc>
          <w:tcPr>
            <w:tcW w:w="992" w:type="dxa"/>
            <w:vAlign w:val="bottom"/>
          </w:tcPr>
          <w:p w14:paraId="192BE89C" w14:textId="5D5D9054" w:rsidR="00070748" w:rsidRPr="00B07B0D" w:rsidRDefault="00070748" w:rsidP="002E46A9">
            <w:pPr>
              <w:jc w:val="center"/>
              <w:rPr>
                <w:rFonts w:cstheme="minorBidi"/>
                <w:sz w:val="20"/>
                <w:szCs w:val="20"/>
                <w:lang w:val="en-US"/>
              </w:rPr>
            </w:pPr>
            <w:r w:rsidRPr="00B07B0D">
              <w:rPr>
                <w:rFonts w:cstheme="minorBidi"/>
                <w:sz w:val="20"/>
                <w:szCs w:val="20"/>
                <w:lang w:val="en-US"/>
              </w:rPr>
              <w:t>25</w:t>
            </w:r>
          </w:p>
        </w:tc>
        <w:tc>
          <w:tcPr>
            <w:tcW w:w="2658" w:type="dxa"/>
            <w:vAlign w:val="bottom"/>
          </w:tcPr>
          <w:p w14:paraId="44875794" w14:textId="6976D2A3" w:rsidR="00070748" w:rsidRPr="00B07B0D" w:rsidRDefault="00070748" w:rsidP="002E46A9">
            <w:pPr>
              <w:jc w:val="center"/>
              <w:rPr>
                <w:rFonts w:cstheme="minorBidi"/>
                <w:sz w:val="20"/>
                <w:szCs w:val="20"/>
                <w:lang w:val="en-US"/>
              </w:rPr>
            </w:pPr>
            <w:r w:rsidRPr="00B07B0D">
              <w:rPr>
                <w:rFonts w:cstheme="minorBidi"/>
                <w:sz w:val="20"/>
                <w:szCs w:val="20"/>
                <w:lang w:val="en-US"/>
              </w:rPr>
              <w:t>2.83%</w:t>
            </w:r>
          </w:p>
        </w:tc>
      </w:tr>
      <w:tr w:rsidR="00107B20" w:rsidRPr="00B07B0D" w14:paraId="7DF3F30B" w14:textId="77777777" w:rsidTr="00480290">
        <w:trPr>
          <w:trHeight w:val="74"/>
        </w:trPr>
        <w:tc>
          <w:tcPr>
            <w:tcW w:w="512" w:type="dxa"/>
          </w:tcPr>
          <w:p w14:paraId="2BB61E89" w14:textId="2E1E8766" w:rsidR="00070748" w:rsidRPr="00B07B0D" w:rsidRDefault="00070748" w:rsidP="00070748">
            <w:pPr>
              <w:jc w:val="left"/>
              <w:rPr>
                <w:rFonts w:cstheme="minorBidi"/>
                <w:sz w:val="20"/>
                <w:szCs w:val="20"/>
                <w:lang w:val="en-US"/>
              </w:rPr>
            </w:pPr>
            <w:r w:rsidRPr="00B07B0D">
              <w:rPr>
                <w:rFonts w:cstheme="minorBidi"/>
                <w:sz w:val="20"/>
                <w:szCs w:val="20"/>
                <w:lang w:val="en-US"/>
              </w:rPr>
              <w:t>9</w:t>
            </w:r>
          </w:p>
        </w:tc>
        <w:tc>
          <w:tcPr>
            <w:tcW w:w="3424" w:type="dxa"/>
            <w:vAlign w:val="bottom"/>
          </w:tcPr>
          <w:p w14:paraId="04BE4238" w14:textId="3EE94FA0" w:rsidR="00070748" w:rsidRPr="00B07B0D" w:rsidRDefault="00070748" w:rsidP="00070748">
            <w:pPr>
              <w:jc w:val="left"/>
              <w:rPr>
                <w:rFonts w:cstheme="minorBidi"/>
                <w:sz w:val="20"/>
                <w:szCs w:val="20"/>
                <w:lang w:val="en-US"/>
              </w:rPr>
            </w:pPr>
            <w:r w:rsidRPr="00B07B0D">
              <w:rPr>
                <w:rFonts w:cstheme="minorBidi"/>
                <w:sz w:val="20"/>
                <w:szCs w:val="20"/>
                <w:lang w:val="en-US"/>
              </w:rPr>
              <w:t>Commercial Services &amp; Supplies</w:t>
            </w:r>
          </w:p>
        </w:tc>
        <w:tc>
          <w:tcPr>
            <w:tcW w:w="992" w:type="dxa"/>
            <w:vAlign w:val="bottom"/>
          </w:tcPr>
          <w:p w14:paraId="11FF06A9" w14:textId="0E7B952E" w:rsidR="00070748" w:rsidRPr="00B07B0D" w:rsidRDefault="00070748" w:rsidP="002E46A9">
            <w:pPr>
              <w:jc w:val="center"/>
              <w:rPr>
                <w:rFonts w:cstheme="minorBidi"/>
                <w:sz w:val="20"/>
                <w:szCs w:val="20"/>
                <w:lang w:val="en-US"/>
              </w:rPr>
            </w:pPr>
            <w:r w:rsidRPr="00B07B0D">
              <w:rPr>
                <w:rFonts w:cstheme="minorBidi"/>
                <w:sz w:val="20"/>
                <w:szCs w:val="20"/>
                <w:lang w:val="en-US"/>
              </w:rPr>
              <w:t>23</w:t>
            </w:r>
          </w:p>
        </w:tc>
        <w:tc>
          <w:tcPr>
            <w:tcW w:w="2658" w:type="dxa"/>
            <w:vAlign w:val="bottom"/>
          </w:tcPr>
          <w:p w14:paraId="7FAF2A3A" w14:textId="3616B0A5" w:rsidR="00070748" w:rsidRPr="00B07B0D" w:rsidRDefault="00070748" w:rsidP="002E46A9">
            <w:pPr>
              <w:jc w:val="center"/>
              <w:rPr>
                <w:rFonts w:cstheme="minorBidi"/>
                <w:sz w:val="20"/>
                <w:szCs w:val="20"/>
                <w:lang w:val="en-US"/>
              </w:rPr>
            </w:pPr>
            <w:r w:rsidRPr="00B07B0D">
              <w:rPr>
                <w:rFonts w:cstheme="minorBidi"/>
                <w:sz w:val="20"/>
                <w:szCs w:val="20"/>
                <w:lang w:val="en-US"/>
              </w:rPr>
              <w:t>2.60%</w:t>
            </w:r>
          </w:p>
        </w:tc>
      </w:tr>
      <w:tr w:rsidR="00107B20" w:rsidRPr="00B07B0D" w14:paraId="64B1B518" w14:textId="77777777" w:rsidTr="00070748">
        <w:tc>
          <w:tcPr>
            <w:tcW w:w="512" w:type="dxa"/>
            <w:tcBorders>
              <w:bottom w:val="single" w:sz="4" w:space="0" w:color="auto"/>
            </w:tcBorders>
          </w:tcPr>
          <w:p w14:paraId="68891C4A" w14:textId="17FA142E" w:rsidR="00070748" w:rsidRPr="00B07B0D" w:rsidRDefault="00070748" w:rsidP="00070748">
            <w:pPr>
              <w:jc w:val="left"/>
              <w:rPr>
                <w:rFonts w:cstheme="minorBidi"/>
                <w:sz w:val="20"/>
                <w:szCs w:val="20"/>
                <w:lang w:val="en-US"/>
              </w:rPr>
            </w:pPr>
            <w:r w:rsidRPr="00B07B0D">
              <w:rPr>
                <w:rFonts w:cstheme="minorBidi"/>
                <w:sz w:val="20"/>
                <w:szCs w:val="20"/>
                <w:lang w:val="en-US"/>
              </w:rPr>
              <w:t>10</w:t>
            </w:r>
          </w:p>
        </w:tc>
        <w:tc>
          <w:tcPr>
            <w:tcW w:w="3424" w:type="dxa"/>
            <w:tcBorders>
              <w:bottom w:val="single" w:sz="4" w:space="0" w:color="auto"/>
            </w:tcBorders>
            <w:vAlign w:val="bottom"/>
          </w:tcPr>
          <w:p w14:paraId="6F0F40FC" w14:textId="14915DDB" w:rsidR="00070748" w:rsidRPr="00B07B0D" w:rsidRDefault="00070748" w:rsidP="00070748">
            <w:pPr>
              <w:jc w:val="left"/>
              <w:rPr>
                <w:rFonts w:cstheme="minorBidi"/>
                <w:sz w:val="20"/>
                <w:szCs w:val="20"/>
                <w:lang w:val="en-US"/>
              </w:rPr>
            </w:pPr>
            <w:r w:rsidRPr="00B07B0D">
              <w:rPr>
                <w:rFonts w:cstheme="minorBidi"/>
                <w:sz w:val="20"/>
                <w:szCs w:val="20"/>
                <w:lang w:val="en-US"/>
              </w:rPr>
              <w:t xml:space="preserve">Health Care Equipment </w:t>
            </w:r>
            <w:r w:rsidR="003A5409">
              <w:rPr>
                <w:rFonts w:cstheme="minorBidi"/>
                <w:sz w:val="20"/>
                <w:szCs w:val="20"/>
                <w:lang w:val="en-US"/>
              </w:rPr>
              <w:t>and</w:t>
            </w:r>
            <w:r w:rsidRPr="00B07B0D">
              <w:rPr>
                <w:rFonts w:cstheme="minorBidi"/>
                <w:sz w:val="20"/>
                <w:szCs w:val="20"/>
                <w:lang w:val="en-US"/>
              </w:rPr>
              <w:t xml:space="preserve"> Supplies</w:t>
            </w:r>
          </w:p>
        </w:tc>
        <w:tc>
          <w:tcPr>
            <w:tcW w:w="992" w:type="dxa"/>
            <w:tcBorders>
              <w:bottom w:val="single" w:sz="4" w:space="0" w:color="auto"/>
            </w:tcBorders>
            <w:vAlign w:val="bottom"/>
          </w:tcPr>
          <w:p w14:paraId="373CF849" w14:textId="1F8386DB" w:rsidR="00070748" w:rsidRPr="00B07B0D" w:rsidRDefault="00070748" w:rsidP="002E46A9">
            <w:pPr>
              <w:jc w:val="center"/>
              <w:rPr>
                <w:rFonts w:cstheme="minorBidi"/>
                <w:sz w:val="20"/>
                <w:szCs w:val="20"/>
                <w:lang w:val="en-US"/>
              </w:rPr>
            </w:pPr>
            <w:r w:rsidRPr="00B07B0D">
              <w:rPr>
                <w:rFonts w:cstheme="minorBidi"/>
                <w:sz w:val="20"/>
                <w:szCs w:val="20"/>
                <w:lang w:val="en-US"/>
              </w:rPr>
              <w:t>21</w:t>
            </w:r>
          </w:p>
        </w:tc>
        <w:tc>
          <w:tcPr>
            <w:tcW w:w="2658" w:type="dxa"/>
            <w:tcBorders>
              <w:bottom w:val="single" w:sz="4" w:space="0" w:color="auto"/>
            </w:tcBorders>
            <w:vAlign w:val="bottom"/>
          </w:tcPr>
          <w:p w14:paraId="390DE25C" w14:textId="13D93C07" w:rsidR="00070748" w:rsidRPr="00B07B0D" w:rsidRDefault="00070748" w:rsidP="002E46A9">
            <w:pPr>
              <w:jc w:val="center"/>
              <w:rPr>
                <w:rFonts w:cstheme="minorBidi"/>
                <w:sz w:val="20"/>
                <w:szCs w:val="20"/>
                <w:lang w:val="en-US"/>
              </w:rPr>
            </w:pPr>
            <w:r w:rsidRPr="00B07B0D">
              <w:rPr>
                <w:rFonts w:cstheme="minorBidi"/>
                <w:sz w:val="20"/>
                <w:szCs w:val="20"/>
                <w:lang w:val="en-US"/>
              </w:rPr>
              <w:t>2.38%</w:t>
            </w:r>
          </w:p>
        </w:tc>
      </w:tr>
    </w:tbl>
    <w:p w14:paraId="3F870D7B" w14:textId="0FEB3DB6" w:rsidR="00580590" w:rsidRPr="00FB43D1" w:rsidRDefault="004233BD" w:rsidP="002E46A9">
      <w:pPr>
        <w:jc w:val="center"/>
        <w:rPr>
          <w:rFonts w:cstheme="minorBidi"/>
          <w:iCs/>
          <w:sz w:val="20"/>
          <w:szCs w:val="20"/>
          <w:lang w:val="en-US"/>
        </w:rPr>
      </w:pPr>
      <w:r w:rsidRPr="00B07B0D">
        <w:rPr>
          <w:rFonts w:cstheme="minorBidi"/>
          <w:i/>
          <w:iCs/>
          <w:sz w:val="20"/>
          <w:szCs w:val="20"/>
          <w:lang w:val="en-US"/>
        </w:rPr>
        <w:t>Source</w:t>
      </w:r>
      <w:r w:rsidRPr="00FB43D1">
        <w:rPr>
          <w:rFonts w:cstheme="minorBidi"/>
          <w:iCs/>
          <w:sz w:val="20"/>
          <w:szCs w:val="20"/>
          <w:lang w:val="en-US"/>
        </w:rPr>
        <w:t>: Authors’ own research</w:t>
      </w:r>
    </w:p>
    <w:p w14:paraId="5CAC3201" w14:textId="77777777" w:rsidR="003F364D" w:rsidRPr="00B07B0D" w:rsidRDefault="003F364D" w:rsidP="004F4E27">
      <w:pPr>
        <w:rPr>
          <w:lang w:val="en-US"/>
        </w:rPr>
      </w:pPr>
    </w:p>
    <w:p w14:paraId="3870D7CA" w14:textId="7EA99B36" w:rsidR="00726D7E" w:rsidRPr="00B07B0D" w:rsidRDefault="006754B0" w:rsidP="004F4E27">
      <w:pPr>
        <w:rPr>
          <w:lang w:val="en-US"/>
        </w:rPr>
      </w:pPr>
      <w:r w:rsidRPr="00B07B0D">
        <w:rPr>
          <w:rFonts w:cstheme="minorBidi"/>
          <w:szCs w:val="22"/>
          <w:lang w:val="en-US"/>
        </w:rPr>
        <w:t>The predominance of Machinery (6.56%), followed by Banks (6.33%) and Real Estate Management &amp; Development (3.73%) indicates high exposure to strict regulations and emerging risks. These risks include cyber threats, which particularly affect financial institutions and technology companies, generating the need for advanced IT security and data protection measures. At the same time, strict and constantly changing regulations, such as those on non-financial reporting, are forcing organizations to adapt their governance mechanisms to ensure compliance with standards. Furthermore, geopolitical instability and international conflicts are affecting supply chains, operating costs, and access to resources, particularly in industries such as construction and electric utilities.</w:t>
      </w:r>
      <w:r w:rsidRPr="00B07B0D">
        <w:rPr>
          <w:lang w:val="en-US"/>
        </w:rPr>
        <w:t xml:space="preserve"> </w:t>
      </w:r>
      <w:r w:rsidRPr="00B07B0D">
        <w:rPr>
          <w:rFonts w:cstheme="minorBidi"/>
          <w:szCs w:val="22"/>
          <w:lang w:val="en-US"/>
        </w:rPr>
        <w:t xml:space="preserve">Climate change and </w:t>
      </w:r>
      <w:r w:rsidR="006F5D0F" w:rsidRPr="00B07B0D">
        <w:rPr>
          <w:rFonts w:cstheme="minorBidi"/>
          <w:szCs w:val="22"/>
          <w:lang w:val="en-US"/>
        </w:rPr>
        <w:t>energy</w:t>
      </w:r>
      <w:r w:rsidRPr="00B07B0D">
        <w:rPr>
          <w:rFonts w:cstheme="minorBidi"/>
          <w:szCs w:val="22"/>
          <w:lang w:val="en-US"/>
        </w:rPr>
        <w:t xml:space="preserve"> transition are forcing companies in the industrial and energy sectors to implement emission reduction strategies and invest in green technologies, which creates new challenges and financial risks. These emerging risk factors highlight the need for robust control and corporate governance mechanisms, in which the audit committee plays a central role in identifying, assessing, and managing industry-specific risks.</w:t>
      </w:r>
    </w:p>
    <w:p w14:paraId="172A789F" w14:textId="77777777" w:rsidR="00726D7E" w:rsidRPr="00B07B0D" w:rsidRDefault="00726D7E" w:rsidP="004F4E27">
      <w:pPr>
        <w:rPr>
          <w:lang w:val="en-US"/>
        </w:rPr>
      </w:pPr>
    </w:p>
    <w:p w14:paraId="55073C42" w14:textId="4AB65C08" w:rsidR="003F364D" w:rsidRPr="00B07B0D" w:rsidRDefault="00844B0F" w:rsidP="00801834">
      <w:pPr>
        <w:rPr>
          <w:b/>
          <w:bCs/>
          <w:sz w:val="28"/>
          <w:szCs w:val="32"/>
          <w:lang w:val="en-US"/>
        </w:rPr>
      </w:pPr>
      <w:bookmarkStart w:id="9" w:name="_Ref532410396"/>
      <w:r w:rsidRPr="00B07B0D">
        <w:rPr>
          <w:b/>
          <w:bCs/>
          <w:sz w:val="28"/>
          <w:szCs w:val="32"/>
          <w:lang w:val="en-US"/>
        </w:rPr>
        <w:t>4</w:t>
      </w:r>
      <w:r w:rsidR="00801834" w:rsidRPr="00B07B0D">
        <w:rPr>
          <w:b/>
          <w:bCs/>
          <w:sz w:val="28"/>
          <w:szCs w:val="32"/>
          <w:lang w:val="en-US"/>
        </w:rPr>
        <w:t xml:space="preserve">. </w:t>
      </w:r>
      <w:r w:rsidR="003F364D" w:rsidRPr="00B07B0D">
        <w:rPr>
          <w:b/>
          <w:bCs/>
          <w:sz w:val="28"/>
          <w:szCs w:val="32"/>
          <w:lang w:val="en-US"/>
        </w:rPr>
        <w:t>Results</w:t>
      </w:r>
      <w:bookmarkEnd w:id="9"/>
      <w:r w:rsidR="003F364D" w:rsidRPr="00B07B0D">
        <w:rPr>
          <w:b/>
          <w:bCs/>
          <w:sz w:val="28"/>
          <w:szCs w:val="32"/>
          <w:lang w:val="en-US"/>
        </w:rPr>
        <w:t xml:space="preserve"> </w:t>
      </w:r>
    </w:p>
    <w:p w14:paraId="6BFD2F7B" w14:textId="77777777" w:rsidR="003F364D" w:rsidRPr="00B07B0D" w:rsidRDefault="003F364D" w:rsidP="003F364D">
      <w:pPr>
        <w:rPr>
          <w:lang w:val="en-US"/>
        </w:rPr>
      </w:pPr>
    </w:p>
    <w:p w14:paraId="048744B1" w14:textId="665A350E" w:rsidR="00761694" w:rsidRPr="00B07B0D" w:rsidRDefault="00726D7E" w:rsidP="00520058">
      <w:pPr>
        <w:rPr>
          <w:lang w:val="en-US"/>
        </w:rPr>
      </w:pPr>
      <w:r w:rsidRPr="00B07B0D">
        <w:rPr>
          <w:lang w:val="en-US"/>
        </w:rPr>
        <w:t xml:space="preserve">The analysis of descriptive statistics highlights a relative stability of corporate governance indicators, in contrast to the variability of financial indicators in the period 2021-2024 (Table </w:t>
      </w:r>
      <w:r w:rsidR="00181363" w:rsidRPr="00B07B0D">
        <w:rPr>
          <w:lang w:val="en-US"/>
        </w:rPr>
        <w:t>4</w:t>
      </w:r>
      <w:r w:rsidRPr="00B07B0D">
        <w:rPr>
          <w:lang w:val="en-US"/>
        </w:rPr>
        <w:t>)</w:t>
      </w:r>
      <w:r w:rsidR="006F5D0F">
        <w:rPr>
          <w:lang w:val="en-US"/>
        </w:rPr>
        <w:t>.</w:t>
      </w:r>
    </w:p>
    <w:p w14:paraId="39F3B847" w14:textId="77777777" w:rsidR="00E94575" w:rsidRPr="00B07B0D" w:rsidRDefault="00E94575" w:rsidP="00520058">
      <w:pPr>
        <w:rPr>
          <w:lang w:val="en-US"/>
        </w:rPr>
      </w:pPr>
    </w:p>
    <w:p w14:paraId="5E680A07" w14:textId="759E981D" w:rsidR="00761694" w:rsidRPr="00B07B0D" w:rsidRDefault="00761694" w:rsidP="00761694">
      <w:pPr>
        <w:jc w:val="center"/>
        <w:rPr>
          <w:b/>
          <w:bCs/>
          <w:iCs/>
          <w:sz w:val="20"/>
          <w:szCs w:val="22"/>
          <w:lang w:val="en-US"/>
        </w:rPr>
      </w:pPr>
      <w:r w:rsidRPr="00B07B0D">
        <w:rPr>
          <w:b/>
          <w:bCs/>
          <w:iCs/>
          <w:sz w:val="20"/>
          <w:szCs w:val="22"/>
          <w:lang w:val="en-US"/>
        </w:rPr>
        <w:t xml:space="preserve">Table </w:t>
      </w:r>
      <w:r w:rsidR="00181363" w:rsidRPr="00B07B0D">
        <w:rPr>
          <w:b/>
          <w:bCs/>
          <w:iCs/>
          <w:sz w:val="20"/>
          <w:szCs w:val="22"/>
          <w:lang w:val="en-US"/>
        </w:rPr>
        <w:t>4</w:t>
      </w:r>
      <w:r w:rsidRPr="00B07B0D">
        <w:rPr>
          <w:b/>
          <w:bCs/>
          <w:iCs/>
          <w:sz w:val="20"/>
          <w:szCs w:val="22"/>
          <w:lang w:val="en-US"/>
        </w:rPr>
        <w:t xml:space="preserve">. Descriptive </w:t>
      </w:r>
      <w:r w:rsidR="00844B0F" w:rsidRPr="00B07B0D">
        <w:rPr>
          <w:b/>
          <w:bCs/>
          <w:iCs/>
          <w:sz w:val="20"/>
          <w:szCs w:val="22"/>
          <w:lang w:val="en-US"/>
        </w:rPr>
        <w:t>s</w:t>
      </w:r>
      <w:r w:rsidRPr="00B07B0D">
        <w:rPr>
          <w:b/>
          <w:bCs/>
          <w:iCs/>
          <w:sz w:val="20"/>
          <w:szCs w:val="22"/>
          <w:lang w:val="en-US"/>
        </w:rPr>
        <w:t>tatistics</w:t>
      </w:r>
    </w:p>
    <w:tbl>
      <w:tblPr>
        <w:tblW w:w="7586" w:type="dxa"/>
        <w:jc w:val="center"/>
        <w:tblBorders>
          <w:top w:val="single" w:sz="4" w:space="0" w:color="auto"/>
          <w:bottom w:val="single" w:sz="4" w:space="0" w:color="auto"/>
        </w:tblBorders>
        <w:tblLook w:val="04A0" w:firstRow="1" w:lastRow="0" w:firstColumn="1" w:lastColumn="0" w:noHBand="0" w:noVBand="1"/>
      </w:tblPr>
      <w:tblGrid>
        <w:gridCol w:w="1525"/>
        <w:gridCol w:w="710"/>
        <w:gridCol w:w="890"/>
        <w:gridCol w:w="705"/>
        <w:gridCol w:w="766"/>
        <w:gridCol w:w="705"/>
        <w:gridCol w:w="766"/>
        <w:gridCol w:w="746"/>
        <w:gridCol w:w="777"/>
      </w:tblGrid>
      <w:tr w:rsidR="00107B20" w:rsidRPr="00B07B0D" w14:paraId="686C79F6" w14:textId="77777777" w:rsidTr="005C23ED">
        <w:trPr>
          <w:trHeight w:val="297"/>
          <w:jc w:val="center"/>
        </w:trPr>
        <w:tc>
          <w:tcPr>
            <w:tcW w:w="1525" w:type="dxa"/>
            <w:tcBorders>
              <w:bottom w:val="nil"/>
            </w:tcBorders>
            <w:noWrap/>
            <w:vAlign w:val="bottom"/>
            <w:hideMark/>
          </w:tcPr>
          <w:p w14:paraId="58558858" w14:textId="77777777" w:rsidR="00761694" w:rsidRPr="00B07B0D" w:rsidRDefault="00761694" w:rsidP="00291F43">
            <w:pPr>
              <w:jc w:val="left"/>
              <w:rPr>
                <w:rFonts w:asciiTheme="minorHAnsi" w:hAnsiTheme="minorHAnsi" w:cstheme="minorHAnsi"/>
                <w:b/>
                <w:bCs/>
                <w:sz w:val="20"/>
                <w:szCs w:val="20"/>
                <w:lang w:val="en-US"/>
              </w:rPr>
            </w:pPr>
          </w:p>
        </w:tc>
        <w:tc>
          <w:tcPr>
            <w:tcW w:w="1600" w:type="dxa"/>
            <w:gridSpan w:val="2"/>
            <w:tcBorders>
              <w:bottom w:val="nil"/>
            </w:tcBorders>
            <w:noWrap/>
            <w:vAlign w:val="bottom"/>
            <w:hideMark/>
          </w:tcPr>
          <w:p w14:paraId="645C7960" w14:textId="77777777" w:rsidR="00761694" w:rsidRPr="00B07B0D" w:rsidRDefault="00761694" w:rsidP="008766FC">
            <w:pPr>
              <w:jc w:val="center"/>
              <w:rPr>
                <w:b/>
                <w:bCs/>
                <w:sz w:val="20"/>
                <w:szCs w:val="20"/>
                <w:lang w:val="en-US"/>
              </w:rPr>
            </w:pPr>
            <w:r w:rsidRPr="00B07B0D">
              <w:rPr>
                <w:b/>
                <w:bCs/>
                <w:sz w:val="20"/>
                <w:szCs w:val="20"/>
                <w:lang w:val="en-US"/>
              </w:rPr>
              <w:t>2021</w:t>
            </w:r>
          </w:p>
        </w:tc>
        <w:tc>
          <w:tcPr>
            <w:tcW w:w="1469" w:type="dxa"/>
            <w:gridSpan w:val="2"/>
            <w:tcBorders>
              <w:bottom w:val="nil"/>
            </w:tcBorders>
            <w:noWrap/>
            <w:vAlign w:val="bottom"/>
            <w:hideMark/>
          </w:tcPr>
          <w:p w14:paraId="4AA936CF" w14:textId="77777777" w:rsidR="00761694" w:rsidRPr="00B07B0D" w:rsidRDefault="00761694" w:rsidP="008766FC">
            <w:pPr>
              <w:jc w:val="center"/>
              <w:rPr>
                <w:b/>
                <w:bCs/>
                <w:sz w:val="20"/>
                <w:szCs w:val="20"/>
                <w:lang w:val="en-US"/>
              </w:rPr>
            </w:pPr>
            <w:r w:rsidRPr="00B07B0D">
              <w:rPr>
                <w:b/>
                <w:bCs/>
                <w:sz w:val="20"/>
                <w:szCs w:val="20"/>
                <w:lang w:val="en-US"/>
              </w:rPr>
              <w:t>2022</w:t>
            </w:r>
          </w:p>
        </w:tc>
        <w:tc>
          <w:tcPr>
            <w:tcW w:w="1469" w:type="dxa"/>
            <w:gridSpan w:val="2"/>
            <w:tcBorders>
              <w:bottom w:val="nil"/>
            </w:tcBorders>
            <w:noWrap/>
            <w:vAlign w:val="bottom"/>
            <w:hideMark/>
          </w:tcPr>
          <w:p w14:paraId="58A8825B" w14:textId="77777777" w:rsidR="00761694" w:rsidRPr="00B07B0D" w:rsidRDefault="00761694" w:rsidP="008766FC">
            <w:pPr>
              <w:jc w:val="center"/>
              <w:rPr>
                <w:b/>
                <w:bCs/>
                <w:sz w:val="20"/>
                <w:szCs w:val="20"/>
                <w:lang w:val="en-US"/>
              </w:rPr>
            </w:pPr>
            <w:r w:rsidRPr="00B07B0D">
              <w:rPr>
                <w:b/>
                <w:bCs/>
                <w:sz w:val="20"/>
                <w:szCs w:val="20"/>
                <w:lang w:val="en-US"/>
              </w:rPr>
              <w:t>2023</w:t>
            </w:r>
          </w:p>
        </w:tc>
        <w:tc>
          <w:tcPr>
            <w:tcW w:w="1523" w:type="dxa"/>
            <w:gridSpan w:val="2"/>
            <w:tcBorders>
              <w:bottom w:val="nil"/>
            </w:tcBorders>
            <w:noWrap/>
            <w:vAlign w:val="bottom"/>
            <w:hideMark/>
          </w:tcPr>
          <w:p w14:paraId="539DD11F" w14:textId="77777777" w:rsidR="00761694" w:rsidRPr="00B07B0D" w:rsidRDefault="00761694" w:rsidP="008766FC">
            <w:pPr>
              <w:jc w:val="center"/>
              <w:rPr>
                <w:b/>
                <w:bCs/>
                <w:sz w:val="20"/>
                <w:szCs w:val="20"/>
                <w:lang w:val="en-US"/>
              </w:rPr>
            </w:pPr>
            <w:r w:rsidRPr="00B07B0D">
              <w:rPr>
                <w:b/>
                <w:bCs/>
                <w:sz w:val="20"/>
                <w:szCs w:val="20"/>
                <w:lang w:val="en-US"/>
              </w:rPr>
              <w:t>2024</w:t>
            </w:r>
          </w:p>
        </w:tc>
      </w:tr>
      <w:tr w:rsidR="004A6221" w:rsidRPr="00B07B0D" w14:paraId="3543A1B6" w14:textId="77777777" w:rsidTr="005C23ED">
        <w:trPr>
          <w:trHeight w:val="347"/>
          <w:jc w:val="center"/>
        </w:trPr>
        <w:tc>
          <w:tcPr>
            <w:tcW w:w="1525" w:type="dxa"/>
            <w:tcBorders>
              <w:top w:val="nil"/>
              <w:bottom w:val="single" w:sz="4" w:space="0" w:color="auto"/>
            </w:tcBorders>
            <w:hideMark/>
          </w:tcPr>
          <w:p w14:paraId="248FBB32" w14:textId="77777777" w:rsidR="00761694" w:rsidRPr="00B07B0D" w:rsidRDefault="00761694" w:rsidP="008766FC">
            <w:pPr>
              <w:jc w:val="center"/>
              <w:rPr>
                <w:b/>
                <w:bCs/>
                <w:sz w:val="20"/>
                <w:szCs w:val="20"/>
                <w:lang w:val="en-US"/>
              </w:rPr>
            </w:pPr>
            <w:r w:rsidRPr="00B07B0D">
              <w:rPr>
                <w:b/>
                <w:bCs/>
                <w:sz w:val="20"/>
                <w:szCs w:val="20"/>
                <w:lang w:val="en-US"/>
              </w:rPr>
              <w:t>Indicator</w:t>
            </w:r>
          </w:p>
        </w:tc>
        <w:tc>
          <w:tcPr>
            <w:tcW w:w="710" w:type="dxa"/>
            <w:tcBorders>
              <w:top w:val="nil"/>
              <w:bottom w:val="single" w:sz="4" w:space="0" w:color="auto"/>
            </w:tcBorders>
            <w:hideMark/>
          </w:tcPr>
          <w:p w14:paraId="390D2510" w14:textId="64972715" w:rsidR="00761694" w:rsidRPr="00B07B0D" w:rsidRDefault="00761694" w:rsidP="008766FC">
            <w:pPr>
              <w:jc w:val="center"/>
              <w:rPr>
                <w:b/>
                <w:bCs/>
                <w:sz w:val="20"/>
                <w:szCs w:val="20"/>
                <w:lang w:val="en-US"/>
              </w:rPr>
            </w:pPr>
            <w:r w:rsidRPr="00B07B0D">
              <w:rPr>
                <w:b/>
                <w:bCs/>
                <w:sz w:val="20"/>
                <w:szCs w:val="20"/>
                <w:lang w:val="en-US"/>
              </w:rPr>
              <w:t>Mean</w:t>
            </w:r>
          </w:p>
        </w:tc>
        <w:tc>
          <w:tcPr>
            <w:tcW w:w="890" w:type="dxa"/>
            <w:tcBorders>
              <w:top w:val="nil"/>
              <w:bottom w:val="single" w:sz="4" w:space="0" w:color="auto"/>
            </w:tcBorders>
            <w:hideMark/>
          </w:tcPr>
          <w:p w14:paraId="48539D9F" w14:textId="15C33303" w:rsidR="00761694" w:rsidRPr="00B07B0D" w:rsidRDefault="00761694" w:rsidP="008766FC">
            <w:pPr>
              <w:jc w:val="center"/>
              <w:rPr>
                <w:b/>
                <w:bCs/>
                <w:sz w:val="20"/>
                <w:szCs w:val="20"/>
                <w:lang w:val="en-US"/>
              </w:rPr>
            </w:pPr>
            <w:r w:rsidRPr="00B07B0D">
              <w:rPr>
                <w:b/>
                <w:bCs/>
                <w:sz w:val="20"/>
                <w:szCs w:val="20"/>
                <w:lang w:val="en-US"/>
              </w:rPr>
              <w:t>SD</w:t>
            </w:r>
          </w:p>
        </w:tc>
        <w:tc>
          <w:tcPr>
            <w:tcW w:w="704" w:type="dxa"/>
            <w:tcBorders>
              <w:top w:val="nil"/>
              <w:bottom w:val="single" w:sz="4" w:space="0" w:color="auto"/>
            </w:tcBorders>
            <w:hideMark/>
          </w:tcPr>
          <w:p w14:paraId="4AD2A930" w14:textId="7C88C085" w:rsidR="00761694" w:rsidRPr="00B07B0D" w:rsidRDefault="00761694" w:rsidP="008766FC">
            <w:pPr>
              <w:jc w:val="center"/>
              <w:rPr>
                <w:b/>
                <w:bCs/>
                <w:sz w:val="20"/>
                <w:szCs w:val="20"/>
                <w:lang w:val="en-US"/>
              </w:rPr>
            </w:pPr>
            <w:r w:rsidRPr="00B07B0D">
              <w:rPr>
                <w:b/>
                <w:bCs/>
                <w:sz w:val="20"/>
                <w:szCs w:val="20"/>
                <w:lang w:val="en-US"/>
              </w:rPr>
              <w:t>Mean</w:t>
            </w:r>
          </w:p>
        </w:tc>
        <w:tc>
          <w:tcPr>
            <w:tcW w:w="765" w:type="dxa"/>
            <w:tcBorders>
              <w:top w:val="nil"/>
              <w:bottom w:val="single" w:sz="4" w:space="0" w:color="auto"/>
            </w:tcBorders>
            <w:hideMark/>
          </w:tcPr>
          <w:p w14:paraId="0EB17AC5" w14:textId="77777777" w:rsidR="00761694" w:rsidRPr="00B07B0D" w:rsidRDefault="00761694" w:rsidP="008766FC">
            <w:pPr>
              <w:jc w:val="center"/>
              <w:rPr>
                <w:b/>
                <w:bCs/>
                <w:sz w:val="20"/>
                <w:szCs w:val="20"/>
                <w:lang w:val="en-US"/>
              </w:rPr>
            </w:pPr>
            <w:r w:rsidRPr="00B07B0D">
              <w:rPr>
                <w:b/>
                <w:bCs/>
                <w:sz w:val="20"/>
                <w:szCs w:val="20"/>
                <w:lang w:val="en-US"/>
              </w:rPr>
              <w:t>SD</w:t>
            </w:r>
          </w:p>
        </w:tc>
        <w:tc>
          <w:tcPr>
            <w:tcW w:w="704" w:type="dxa"/>
            <w:tcBorders>
              <w:top w:val="nil"/>
              <w:bottom w:val="single" w:sz="4" w:space="0" w:color="auto"/>
            </w:tcBorders>
            <w:hideMark/>
          </w:tcPr>
          <w:p w14:paraId="49BF935C" w14:textId="254EA4A1" w:rsidR="00761694" w:rsidRPr="00B07B0D" w:rsidRDefault="00761694" w:rsidP="008766FC">
            <w:pPr>
              <w:jc w:val="center"/>
              <w:rPr>
                <w:b/>
                <w:bCs/>
                <w:sz w:val="20"/>
                <w:szCs w:val="20"/>
                <w:lang w:val="en-US"/>
              </w:rPr>
            </w:pPr>
            <w:r w:rsidRPr="00B07B0D">
              <w:rPr>
                <w:b/>
                <w:bCs/>
                <w:sz w:val="20"/>
                <w:szCs w:val="20"/>
                <w:lang w:val="en-US"/>
              </w:rPr>
              <w:t>Mean</w:t>
            </w:r>
          </w:p>
        </w:tc>
        <w:tc>
          <w:tcPr>
            <w:tcW w:w="765" w:type="dxa"/>
            <w:tcBorders>
              <w:top w:val="nil"/>
              <w:bottom w:val="single" w:sz="4" w:space="0" w:color="auto"/>
            </w:tcBorders>
            <w:hideMark/>
          </w:tcPr>
          <w:p w14:paraId="55850850" w14:textId="77777777" w:rsidR="00761694" w:rsidRPr="00B07B0D" w:rsidRDefault="00761694" w:rsidP="008766FC">
            <w:pPr>
              <w:jc w:val="center"/>
              <w:rPr>
                <w:b/>
                <w:bCs/>
                <w:sz w:val="20"/>
                <w:szCs w:val="20"/>
                <w:lang w:val="en-US"/>
              </w:rPr>
            </w:pPr>
            <w:r w:rsidRPr="00B07B0D">
              <w:rPr>
                <w:b/>
                <w:bCs/>
                <w:sz w:val="20"/>
                <w:szCs w:val="20"/>
                <w:lang w:val="en-US"/>
              </w:rPr>
              <w:t>SD</w:t>
            </w:r>
          </w:p>
        </w:tc>
        <w:tc>
          <w:tcPr>
            <w:tcW w:w="746" w:type="dxa"/>
            <w:tcBorders>
              <w:top w:val="nil"/>
              <w:bottom w:val="single" w:sz="4" w:space="0" w:color="auto"/>
            </w:tcBorders>
            <w:hideMark/>
          </w:tcPr>
          <w:p w14:paraId="6B9CC15F" w14:textId="77777777" w:rsidR="00761694" w:rsidRPr="00B07B0D" w:rsidRDefault="00761694" w:rsidP="008766FC">
            <w:pPr>
              <w:jc w:val="center"/>
              <w:rPr>
                <w:b/>
                <w:bCs/>
                <w:sz w:val="20"/>
                <w:szCs w:val="20"/>
                <w:lang w:val="en-US"/>
              </w:rPr>
            </w:pPr>
            <w:r w:rsidRPr="00B07B0D">
              <w:rPr>
                <w:b/>
                <w:bCs/>
                <w:sz w:val="20"/>
                <w:szCs w:val="20"/>
                <w:lang w:val="en-US"/>
              </w:rPr>
              <w:t>Mean</w:t>
            </w:r>
          </w:p>
        </w:tc>
        <w:tc>
          <w:tcPr>
            <w:tcW w:w="777" w:type="dxa"/>
            <w:tcBorders>
              <w:top w:val="nil"/>
              <w:bottom w:val="single" w:sz="4" w:space="0" w:color="auto"/>
            </w:tcBorders>
            <w:hideMark/>
          </w:tcPr>
          <w:p w14:paraId="77B35152" w14:textId="77777777" w:rsidR="00761694" w:rsidRPr="00B07B0D" w:rsidRDefault="00761694" w:rsidP="008766FC">
            <w:pPr>
              <w:jc w:val="center"/>
              <w:rPr>
                <w:b/>
                <w:bCs/>
                <w:sz w:val="20"/>
                <w:szCs w:val="20"/>
                <w:lang w:val="en-US"/>
              </w:rPr>
            </w:pPr>
            <w:r w:rsidRPr="00B07B0D">
              <w:rPr>
                <w:b/>
                <w:bCs/>
                <w:sz w:val="20"/>
                <w:szCs w:val="20"/>
                <w:lang w:val="en-US"/>
              </w:rPr>
              <w:t>SD</w:t>
            </w:r>
          </w:p>
        </w:tc>
      </w:tr>
      <w:tr w:rsidR="004A6221" w:rsidRPr="00B07B0D" w14:paraId="2441F2B3" w14:textId="77777777" w:rsidTr="005C23ED">
        <w:trPr>
          <w:trHeight w:val="297"/>
          <w:jc w:val="center"/>
        </w:trPr>
        <w:tc>
          <w:tcPr>
            <w:tcW w:w="1525" w:type="dxa"/>
            <w:tcBorders>
              <w:top w:val="single" w:sz="4" w:space="0" w:color="auto"/>
            </w:tcBorders>
            <w:noWrap/>
          </w:tcPr>
          <w:p w14:paraId="2F42798C" w14:textId="6FA103C0" w:rsidR="00643ECF" w:rsidRPr="00B07B0D" w:rsidRDefault="00643ECF" w:rsidP="00643ECF">
            <w:pPr>
              <w:jc w:val="left"/>
              <w:rPr>
                <w:sz w:val="20"/>
                <w:szCs w:val="20"/>
                <w:lang w:val="en-US"/>
              </w:rPr>
            </w:pPr>
            <w:r w:rsidRPr="00B07B0D">
              <w:rPr>
                <w:sz w:val="20"/>
                <w:szCs w:val="20"/>
                <w:lang w:val="en-US"/>
              </w:rPr>
              <w:t>EBITDA</w:t>
            </w:r>
          </w:p>
        </w:tc>
        <w:tc>
          <w:tcPr>
            <w:tcW w:w="710" w:type="dxa"/>
            <w:tcBorders>
              <w:top w:val="single" w:sz="4" w:space="0" w:color="auto"/>
            </w:tcBorders>
            <w:noWrap/>
          </w:tcPr>
          <w:p w14:paraId="243DBA1E" w14:textId="6ED4AEC6" w:rsidR="00643ECF" w:rsidRPr="00B07B0D" w:rsidRDefault="00643ECF" w:rsidP="00844B0F">
            <w:pPr>
              <w:jc w:val="right"/>
              <w:rPr>
                <w:sz w:val="20"/>
                <w:szCs w:val="20"/>
                <w:lang w:val="en-US"/>
              </w:rPr>
            </w:pPr>
            <w:r w:rsidRPr="00B07B0D">
              <w:rPr>
                <w:sz w:val="20"/>
                <w:szCs w:val="20"/>
                <w:lang w:val="en-US"/>
              </w:rPr>
              <w:t>2.03</w:t>
            </w:r>
          </w:p>
        </w:tc>
        <w:tc>
          <w:tcPr>
            <w:tcW w:w="890" w:type="dxa"/>
            <w:tcBorders>
              <w:top w:val="single" w:sz="4" w:space="0" w:color="auto"/>
            </w:tcBorders>
            <w:noWrap/>
          </w:tcPr>
          <w:p w14:paraId="6F19C499" w14:textId="7041E4D4" w:rsidR="00643ECF" w:rsidRPr="00B07B0D" w:rsidRDefault="00643ECF" w:rsidP="00844B0F">
            <w:pPr>
              <w:jc w:val="right"/>
              <w:rPr>
                <w:sz w:val="20"/>
                <w:szCs w:val="20"/>
                <w:lang w:val="en-US"/>
              </w:rPr>
            </w:pPr>
            <w:r w:rsidRPr="00B07B0D">
              <w:rPr>
                <w:sz w:val="20"/>
                <w:szCs w:val="20"/>
                <w:lang w:val="en-US"/>
              </w:rPr>
              <w:t>5.82</w:t>
            </w:r>
          </w:p>
        </w:tc>
        <w:tc>
          <w:tcPr>
            <w:tcW w:w="704" w:type="dxa"/>
            <w:tcBorders>
              <w:top w:val="single" w:sz="4" w:space="0" w:color="auto"/>
            </w:tcBorders>
            <w:noWrap/>
          </w:tcPr>
          <w:p w14:paraId="4A980829" w14:textId="2AF47F72" w:rsidR="00643ECF" w:rsidRPr="00B07B0D" w:rsidRDefault="00643ECF" w:rsidP="00844B0F">
            <w:pPr>
              <w:jc w:val="right"/>
              <w:rPr>
                <w:sz w:val="20"/>
                <w:szCs w:val="20"/>
                <w:lang w:val="en-US"/>
              </w:rPr>
            </w:pPr>
            <w:r w:rsidRPr="00B07B0D">
              <w:rPr>
                <w:sz w:val="20"/>
                <w:szCs w:val="20"/>
                <w:lang w:val="en-US"/>
              </w:rPr>
              <w:t>2.36</w:t>
            </w:r>
          </w:p>
        </w:tc>
        <w:tc>
          <w:tcPr>
            <w:tcW w:w="765" w:type="dxa"/>
            <w:tcBorders>
              <w:top w:val="single" w:sz="4" w:space="0" w:color="auto"/>
            </w:tcBorders>
            <w:noWrap/>
          </w:tcPr>
          <w:p w14:paraId="457DD9FF" w14:textId="00C9F795" w:rsidR="00643ECF" w:rsidRPr="00B07B0D" w:rsidRDefault="00643ECF" w:rsidP="00844B0F">
            <w:pPr>
              <w:jc w:val="right"/>
              <w:rPr>
                <w:sz w:val="20"/>
                <w:szCs w:val="20"/>
                <w:lang w:val="en-US"/>
              </w:rPr>
            </w:pPr>
            <w:r w:rsidRPr="00B07B0D">
              <w:rPr>
                <w:sz w:val="20"/>
                <w:szCs w:val="20"/>
                <w:lang w:val="en-US"/>
              </w:rPr>
              <w:t>6.12</w:t>
            </w:r>
          </w:p>
        </w:tc>
        <w:tc>
          <w:tcPr>
            <w:tcW w:w="704" w:type="dxa"/>
            <w:tcBorders>
              <w:top w:val="single" w:sz="4" w:space="0" w:color="auto"/>
            </w:tcBorders>
            <w:noWrap/>
          </w:tcPr>
          <w:p w14:paraId="0820E1F5" w14:textId="5F2BC753" w:rsidR="00643ECF" w:rsidRPr="00B07B0D" w:rsidRDefault="00643ECF" w:rsidP="00844B0F">
            <w:pPr>
              <w:jc w:val="right"/>
              <w:rPr>
                <w:sz w:val="20"/>
                <w:szCs w:val="20"/>
                <w:lang w:val="en-US"/>
              </w:rPr>
            </w:pPr>
            <w:r w:rsidRPr="00B07B0D">
              <w:rPr>
                <w:sz w:val="20"/>
                <w:szCs w:val="20"/>
                <w:lang w:val="en-US"/>
              </w:rPr>
              <w:t>2.11</w:t>
            </w:r>
          </w:p>
        </w:tc>
        <w:tc>
          <w:tcPr>
            <w:tcW w:w="765" w:type="dxa"/>
            <w:tcBorders>
              <w:top w:val="single" w:sz="4" w:space="0" w:color="auto"/>
            </w:tcBorders>
            <w:noWrap/>
          </w:tcPr>
          <w:p w14:paraId="70893111" w14:textId="2D8A9DD6" w:rsidR="00643ECF" w:rsidRPr="00B07B0D" w:rsidRDefault="00643ECF" w:rsidP="00844B0F">
            <w:pPr>
              <w:jc w:val="right"/>
              <w:rPr>
                <w:sz w:val="20"/>
                <w:szCs w:val="20"/>
                <w:lang w:val="en-US"/>
              </w:rPr>
            </w:pPr>
            <w:r w:rsidRPr="00B07B0D">
              <w:rPr>
                <w:sz w:val="20"/>
                <w:szCs w:val="20"/>
                <w:lang w:val="en-US"/>
              </w:rPr>
              <w:t>6.17</w:t>
            </w:r>
          </w:p>
        </w:tc>
        <w:tc>
          <w:tcPr>
            <w:tcW w:w="746" w:type="dxa"/>
            <w:tcBorders>
              <w:top w:val="single" w:sz="4" w:space="0" w:color="auto"/>
            </w:tcBorders>
            <w:noWrap/>
          </w:tcPr>
          <w:p w14:paraId="5A2C5ACD" w14:textId="39D5E226" w:rsidR="00643ECF" w:rsidRPr="00B07B0D" w:rsidRDefault="00643ECF" w:rsidP="00844B0F">
            <w:pPr>
              <w:jc w:val="right"/>
              <w:rPr>
                <w:sz w:val="20"/>
                <w:szCs w:val="20"/>
                <w:lang w:val="en-US"/>
              </w:rPr>
            </w:pPr>
            <w:r w:rsidRPr="00B07B0D">
              <w:rPr>
                <w:sz w:val="20"/>
                <w:szCs w:val="20"/>
                <w:lang w:val="en-US"/>
              </w:rPr>
              <w:t>1.93</w:t>
            </w:r>
          </w:p>
        </w:tc>
        <w:tc>
          <w:tcPr>
            <w:tcW w:w="777" w:type="dxa"/>
            <w:tcBorders>
              <w:top w:val="single" w:sz="4" w:space="0" w:color="auto"/>
            </w:tcBorders>
            <w:noWrap/>
          </w:tcPr>
          <w:p w14:paraId="72A44D9A" w14:textId="5D51A99D" w:rsidR="00643ECF" w:rsidRPr="00B07B0D" w:rsidRDefault="00643ECF" w:rsidP="00844B0F">
            <w:pPr>
              <w:jc w:val="right"/>
              <w:rPr>
                <w:sz w:val="20"/>
                <w:szCs w:val="20"/>
                <w:lang w:val="en-US"/>
              </w:rPr>
            </w:pPr>
            <w:r w:rsidRPr="00B07B0D">
              <w:rPr>
                <w:sz w:val="20"/>
                <w:szCs w:val="20"/>
                <w:lang w:val="en-US"/>
              </w:rPr>
              <w:t>5.01</w:t>
            </w:r>
          </w:p>
        </w:tc>
      </w:tr>
      <w:tr w:rsidR="004A6221" w:rsidRPr="00B07B0D" w14:paraId="27507693" w14:textId="77777777" w:rsidTr="005C23ED">
        <w:trPr>
          <w:trHeight w:val="297"/>
          <w:jc w:val="center"/>
        </w:trPr>
        <w:tc>
          <w:tcPr>
            <w:tcW w:w="1525" w:type="dxa"/>
            <w:noWrap/>
          </w:tcPr>
          <w:p w14:paraId="11088A48" w14:textId="664C2936" w:rsidR="00643ECF" w:rsidRPr="00B07B0D" w:rsidRDefault="00643ECF" w:rsidP="00643ECF">
            <w:pPr>
              <w:jc w:val="left"/>
              <w:rPr>
                <w:sz w:val="20"/>
                <w:szCs w:val="20"/>
                <w:lang w:val="en-US"/>
              </w:rPr>
            </w:pPr>
            <w:r w:rsidRPr="00B07B0D">
              <w:rPr>
                <w:rFonts w:cstheme="minorBidi"/>
                <w:sz w:val="20"/>
                <w:szCs w:val="20"/>
                <w:lang w:val="en-US"/>
              </w:rPr>
              <w:t>BD_IND</w:t>
            </w:r>
          </w:p>
        </w:tc>
        <w:tc>
          <w:tcPr>
            <w:tcW w:w="710" w:type="dxa"/>
            <w:noWrap/>
          </w:tcPr>
          <w:p w14:paraId="0FADAA0D" w14:textId="201BF597" w:rsidR="00643ECF" w:rsidRPr="00B07B0D" w:rsidRDefault="00643ECF" w:rsidP="00844B0F">
            <w:pPr>
              <w:jc w:val="right"/>
              <w:rPr>
                <w:sz w:val="20"/>
                <w:szCs w:val="20"/>
                <w:lang w:val="en-US"/>
              </w:rPr>
            </w:pPr>
            <w:r w:rsidRPr="00B07B0D">
              <w:rPr>
                <w:sz w:val="20"/>
                <w:szCs w:val="20"/>
                <w:lang w:val="en-US"/>
              </w:rPr>
              <w:t>52.89</w:t>
            </w:r>
          </w:p>
        </w:tc>
        <w:tc>
          <w:tcPr>
            <w:tcW w:w="890" w:type="dxa"/>
            <w:noWrap/>
          </w:tcPr>
          <w:p w14:paraId="1461698D" w14:textId="6BA956D4" w:rsidR="00643ECF" w:rsidRPr="00B07B0D" w:rsidRDefault="00643ECF" w:rsidP="00844B0F">
            <w:pPr>
              <w:jc w:val="right"/>
              <w:rPr>
                <w:sz w:val="20"/>
                <w:szCs w:val="20"/>
                <w:lang w:val="en-US"/>
              </w:rPr>
            </w:pPr>
            <w:r w:rsidRPr="00B07B0D">
              <w:rPr>
                <w:sz w:val="20"/>
                <w:szCs w:val="20"/>
                <w:lang w:val="en-US"/>
              </w:rPr>
              <w:t>26.39</w:t>
            </w:r>
          </w:p>
        </w:tc>
        <w:tc>
          <w:tcPr>
            <w:tcW w:w="704" w:type="dxa"/>
            <w:noWrap/>
          </w:tcPr>
          <w:p w14:paraId="781AFBDE" w14:textId="5A74ECF7" w:rsidR="00643ECF" w:rsidRPr="00B07B0D" w:rsidRDefault="00643ECF" w:rsidP="00844B0F">
            <w:pPr>
              <w:jc w:val="right"/>
              <w:rPr>
                <w:sz w:val="20"/>
                <w:szCs w:val="20"/>
                <w:lang w:val="en-US"/>
              </w:rPr>
            </w:pPr>
            <w:r w:rsidRPr="00B07B0D">
              <w:rPr>
                <w:sz w:val="20"/>
                <w:szCs w:val="20"/>
                <w:lang w:val="en-US"/>
              </w:rPr>
              <w:t>53.37</w:t>
            </w:r>
          </w:p>
        </w:tc>
        <w:tc>
          <w:tcPr>
            <w:tcW w:w="765" w:type="dxa"/>
            <w:noWrap/>
          </w:tcPr>
          <w:p w14:paraId="3E3D75F3" w14:textId="52B39393" w:rsidR="00643ECF" w:rsidRPr="00B07B0D" w:rsidRDefault="00643ECF" w:rsidP="00844B0F">
            <w:pPr>
              <w:jc w:val="right"/>
              <w:rPr>
                <w:sz w:val="20"/>
                <w:szCs w:val="20"/>
                <w:lang w:val="en-US"/>
              </w:rPr>
            </w:pPr>
            <w:r w:rsidRPr="00B07B0D">
              <w:rPr>
                <w:sz w:val="20"/>
                <w:szCs w:val="20"/>
                <w:lang w:val="en-US"/>
              </w:rPr>
              <w:t>27.03</w:t>
            </w:r>
          </w:p>
        </w:tc>
        <w:tc>
          <w:tcPr>
            <w:tcW w:w="704" w:type="dxa"/>
            <w:noWrap/>
          </w:tcPr>
          <w:p w14:paraId="56E2C052" w14:textId="4E31520E" w:rsidR="00643ECF" w:rsidRPr="00B07B0D" w:rsidRDefault="00643ECF" w:rsidP="00844B0F">
            <w:pPr>
              <w:jc w:val="right"/>
              <w:rPr>
                <w:sz w:val="20"/>
                <w:szCs w:val="20"/>
                <w:lang w:val="en-US"/>
              </w:rPr>
            </w:pPr>
            <w:r w:rsidRPr="00B07B0D">
              <w:rPr>
                <w:sz w:val="20"/>
                <w:szCs w:val="20"/>
                <w:lang w:val="en-US"/>
              </w:rPr>
              <w:t>54.67</w:t>
            </w:r>
          </w:p>
        </w:tc>
        <w:tc>
          <w:tcPr>
            <w:tcW w:w="765" w:type="dxa"/>
            <w:noWrap/>
          </w:tcPr>
          <w:p w14:paraId="53F8E9D9" w14:textId="5525D341" w:rsidR="00643ECF" w:rsidRPr="00B07B0D" w:rsidRDefault="00643ECF" w:rsidP="00844B0F">
            <w:pPr>
              <w:jc w:val="right"/>
              <w:rPr>
                <w:sz w:val="20"/>
                <w:szCs w:val="20"/>
                <w:lang w:val="en-US"/>
              </w:rPr>
            </w:pPr>
            <w:r w:rsidRPr="00B07B0D">
              <w:rPr>
                <w:sz w:val="20"/>
                <w:szCs w:val="20"/>
                <w:lang w:val="en-US"/>
              </w:rPr>
              <w:t>26.91</w:t>
            </w:r>
          </w:p>
        </w:tc>
        <w:tc>
          <w:tcPr>
            <w:tcW w:w="746" w:type="dxa"/>
            <w:noWrap/>
          </w:tcPr>
          <w:p w14:paraId="0F2FFE6E" w14:textId="27263B3B" w:rsidR="00643ECF" w:rsidRPr="00B07B0D" w:rsidRDefault="00643ECF" w:rsidP="00844B0F">
            <w:pPr>
              <w:jc w:val="right"/>
              <w:rPr>
                <w:sz w:val="20"/>
                <w:szCs w:val="20"/>
                <w:lang w:val="en-US"/>
              </w:rPr>
            </w:pPr>
            <w:r w:rsidRPr="00B07B0D">
              <w:rPr>
                <w:sz w:val="20"/>
                <w:szCs w:val="20"/>
                <w:lang w:val="en-US"/>
              </w:rPr>
              <w:t>54.76</w:t>
            </w:r>
          </w:p>
        </w:tc>
        <w:tc>
          <w:tcPr>
            <w:tcW w:w="777" w:type="dxa"/>
            <w:noWrap/>
          </w:tcPr>
          <w:p w14:paraId="3F407836" w14:textId="00BB1F61" w:rsidR="00643ECF" w:rsidRPr="00B07B0D" w:rsidRDefault="00643ECF" w:rsidP="00844B0F">
            <w:pPr>
              <w:jc w:val="right"/>
              <w:rPr>
                <w:sz w:val="20"/>
                <w:szCs w:val="20"/>
                <w:lang w:val="en-US"/>
              </w:rPr>
            </w:pPr>
            <w:r w:rsidRPr="00B07B0D">
              <w:rPr>
                <w:sz w:val="20"/>
                <w:szCs w:val="20"/>
                <w:lang w:val="en-US"/>
              </w:rPr>
              <w:t>26.7</w:t>
            </w:r>
          </w:p>
        </w:tc>
      </w:tr>
      <w:tr w:rsidR="004A6221" w:rsidRPr="00B07B0D" w14:paraId="02E0B6E1" w14:textId="77777777" w:rsidTr="005C23ED">
        <w:trPr>
          <w:trHeight w:val="297"/>
          <w:jc w:val="center"/>
        </w:trPr>
        <w:tc>
          <w:tcPr>
            <w:tcW w:w="1525" w:type="dxa"/>
            <w:noWrap/>
          </w:tcPr>
          <w:p w14:paraId="54E1BFC4" w14:textId="214871CA" w:rsidR="00643ECF" w:rsidRPr="00B07B0D" w:rsidRDefault="00643ECF" w:rsidP="00643ECF">
            <w:pPr>
              <w:jc w:val="left"/>
              <w:rPr>
                <w:sz w:val="20"/>
                <w:szCs w:val="20"/>
                <w:lang w:val="en-US"/>
              </w:rPr>
            </w:pPr>
            <w:r w:rsidRPr="00B07B0D">
              <w:rPr>
                <w:rFonts w:cstheme="minorBidi"/>
                <w:sz w:val="20"/>
                <w:szCs w:val="20"/>
                <w:lang w:val="en-US"/>
              </w:rPr>
              <w:t>BD_SIZE</w:t>
            </w:r>
          </w:p>
        </w:tc>
        <w:tc>
          <w:tcPr>
            <w:tcW w:w="710" w:type="dxa"/>
            <w:noWrap/>
          </w:tcPr>
          <w:p w14:paraId="73869E4A" w14:textId="01F84AB4" w:rsidR="00643ECF" w:rsidRPr="00B07B0D" w:rsidRDefault="00643ECF" w:rsidP="00844B0F">
            <w:pPr>
              <w:jc w:val="right"/>
              <w:rPr>
                <w:sz w:val="20"/>
                <w:szCs w:val="20"/>
                <w:lang w:val="en-US"/>
              </w:rPr>
            </w:pPr>
            <w:r w:rsidRPr="00B07B0D">
              <w:rPr>
                <w:sz w:val="20"/>
                <w:szCs w:val="20"/>
                <w:lang w:val="en-US"/>
              </w:rPr>
              <w:t>9.56</w:t>
            </w:r>
          </w:p>
        </w:tc>
        <w:tc>
          <w:tcPr>
            <w:tcW w:w="890" w:type="dxa"/>
            <w:noWrap/>
          </w:tcPr>
          <w:p w14:paraId="0E735FCB" w14:textId="2D569C6E" w:rsidR="00643ECF" w:rsidRPr="00B07B0D" w:rsidRDefault="00643ECF" w:rsidP="00844B0F">
            <w:pPr>
              <w:jc w:val="right"/>
              <w:rPr>
                <w:sz w:val="20"/>
                <w:szCs w:val="20"/>
                <w:lang w:val="en-US"/>
              </w:rPr>
            </w:pPr>
            <w:r w:rsidRPr="00B07B0D">
              <w:rPr>
                <w:sz w:val="20"/>
                <w:szCs w:val="20"/>
                <w:lang w:val="en-US"/>
              </w:rPr>
              <w:t>3.44</w:t>
            </w:r>
          </w:p>
        </w:tc>
        <w:tc>
          <w:tcPr>
            <w:tcW w:w="704" w:type="dxa"/>
            <w:noWrap/>
          </w:tcPr>
          <w:p w14:paraId="7B2E993A" w14:textId="6EBBF4EA" w:rsidR="00643ECF" w:rsidRPr="00B07B0D" w:rsidRDefault="00643ECF" w:rsidP="00844B0F">
            <w:pPr>
              <w:jc w:val="right"/>
              <w:rPr>
                <w:sz w:val="20"/>
                <w:szCs w:val="20"/>
                <w:lang w:val="en-US"/>
              </w:rPr>
            </w:pPr>
            <w:r w:rsidRPr="00B07B0D">
              <w:rPr>
                <w:sz w:val="20"/>
                <w:szCs w:val="20"/>
                <w:lang w:val="en-US"/>
              </w:rPr>
              <w:t>9.98</w:t>
            </w:r>
          </w:p>
        </w:tc>
        <w:tc>
          <w:tcPr>
            <w:tcW w:w="765" w:type="dxa"/>
            <w:noWrap/>
          </w:tcPr>
          <w:p w14:paraId="45B945E6" w14:textId="3BAF9464" w:rsidR="00643ECF" w:rsidRPr="00B07B0D" w:rsidRDefault="00643ECF" w:rsidP="00844B0F">
            <w:pPr>
              <w:jc w:val="right"/>
              <w:rPr>
                <w:sz w:val="20"/>
                <w:szCs w:val="20"/>
                <w:lang w:val="en-US"/>
              </w:rPr>
            </w:pPr>
            <w:r w:rsidRPr="00B07B0D">
              <w:rPr>
                <w:sz w:val="20"/>
                <w:szCs w:val="20"/>
                <w:lang w:val="en-US"/>
              </w:rPr>
              <w:t>3.86</w:t>
            </w:r>
          </w:p>
        </w:tc>
        <w:tc>
          <w:tcPr>
            <w:tcW w:w="704" w:type="dxa"/>
            <w:noWrap/>
          </w:tcPr>
          <w:p w14:paraId="6FBB5DE5" w14:textId="59DCA302" w:rsidR="00643ECF" w:rsidRPr="00B07B0D" w:rsidRDefault="00643ECF" w:rsidP="00844B0F">
            <w:pPr>
              <w:jc w:val="right"/>
              <w:rPr>
                <w:sz w:val="20"/>
                <w:szCs w:val="20"/>
                <w:lang w:val="en-US"/>
              </w:rPr>
            </w:pPr>
            <w:r w:rsidRPr="00B07B0D">
              <w:rPr>
                <w:sz w:val="20"/>
                <w:szCs w:val="20"/>
                <w:lang w:val="en-US"/>
              </w:rPr>
              <w:t>9.98</w:t>
            </w:r>
          </w:p>
        </w:tc>
        <w:tc>
          <w:tcPr>
            <w:tcW w:w="765" w:type="dxa"/>
            <w:noWrap/>
          </w:tcPr>
          <w:p w14:paraId="020E1620" w14:textId="00666609" w:rsidR="00643ECF" w:rsidRPr="00B07B0D" w:rsidRDefault="00643ECF" w:rsidP="00844B0F">
            <w:pPr>
              <w:jc w:val="right"/>
              <w:rPr>
                <w:sz w:val="20"/>
                <w:szCs w:val="20"/>
                <w:lang w:val="en-US"/>
              </w:rPr>
            </w:pPr>
            <w:r w:rsidRPr="00B07B0D">
              <w:rPr>
                <w:sz w:val="20"/>
                <w:szCs w:val="20"/>
                <w:lang w:val="en-US"/>
              </w:rPr>
              <w:t>3.92</w:t>
            </w:r>
          </w:p>
        </w:tc>
        <w:tc>
          <w:tcPr>
            <w:tcW w:w="746" w:type="dxa"/>
            <w:noWrap/>
          </w:tcPr>
          <w:p w14:paraId="71738DE2" w14:textId="736526BB" w:rsidR="00643ECF" w:rsidRPr="00B07B0D" w:rsidRDefault="00643ECF" w:rsidP="00844B0F">
            <w:pPr>
              <w:jc w:val="right"/>
              <w:rPr>
                <w:sz w:val="20"/>
                <w:szCs w:val="20"/>
                <w:lang w:val="en-US"/>
              </w:rPr>
            </w:pPr>
            <w:r w:rsidRPr="00B07B0D">
              <w:rPr>
                <w:sz w:val="20"/>
                <w:szCs w:val="20"/>
                <w:lang w:val="en-US"/>
              </w:rPr>
              <w:t>9.98</w:t>
            </w:r>
          </w:p>
        </w:tc>
        <w:tc>
          <w:tcPr>
            <w:tcW w:w="777" w:type="dxa"/>
            <w:noWrap/>
          </w:tcPr>
          <w:p w14:paraId="79170326" w14:textId="0A8BCE5F" w:rsidR="00643ECF" w:rsidRPr="00B07B0D" w:rsidRDefault="00643ECF" w:rsidP="00844B0F">
            <w:pPr>
              <w:jc w:val="right"/>
              <w:rPr>
                <w:sz w:val="20"/>
                <w:szCs w:val="20"/>
                <w:lang w:val="en-US"/>
              </w:rPr>
            </w:pPr>
            <w:r w:rsidRPr="00B07B0D">
              <w:rPr>
                <w:sz w:val="20"/>
                <w:szCs w:val="20"/>
                <w:lang w:val="en-US"/>
              </w:rPr>
              <w:t>4</w:t>
            </w:r>
          </w:p>
        </w:tc>
      </w:tr>
      <w:tr w:rsidR="004A6221" w:rsidRPr="00B07B0D" w14:paraId="236D7AF1" w14:textId="77777777" w:rsidTr="005C23ED">
        <w:trPr>
          <w:trHeight w:val="297"/>
          <w:jc w:val="center"/>
        </w:trPr>
        <w:tc>
          <w:tcPr>
            <w:tcW w:w="1525" w:type="dxa"/>
            <w:noWrap/>
          </w:tcPr>
          <w:p w14:paraId="01D482C6" w14:textId="13B62916" w:rsidR="00643ECF" w:rsidRPr="00B07B0D" w:rsidRDefault="00643ECF" w:rsidP="00643ECF">
            <w:pPr>
              <w:jc w:val="left"/>
              <w:rPr>
                <w:sz w:val="20"/>
                <w:szCs w:val="20"/>
                <w:lang w:val="en-US"/>
              </w:rPr>
            </w:pPr>
            <w:r w:rsidRPr="00B07B0D">
              <w:rPr>
                <w:rFonts w:cstheme="minorBidi"/>
                <w:sz w:val="20"/>
                <w:szCs w:val="20"/>
                <w:lang w:val="en-US"/>
              </w:rPr>
              <w:t>NON_EXEC</w:t>
            </w:r>
          </w:p>
        </w:tc>
        <w:tc>
          <w:tcPr>
            <w:tcW w:w="710" w:type="dxa"/>
            <w:noWrap/>
          </w:tcPr>
          <w:p w14:paraId="50A99FC7" w14:textId="49806FBB" w:rsidR="00643ECF" w:rsidRPr="00B07B0D" w:rsidRDefault="00643ECF" w:rsidP="00844B0F">
            <w:pPr>
              <w:jc w:val="right"/>
              <w:rPr>
                <w:sz w:val="20"/>
                <w:szCs w:val="20"/>
                <w:lang w:val="en-US"/>
              </w:rPr>
            </w:pPr>
            <w:r w:rsidRPr="00B07B0D">
              <w:rPr>
                <w:sz w:val="20"/>
                <w:szCs w:val="20"/>
                <w:lang w:val="en-US"/>
              </w:rPr>
              <w:t>51.2</w:t>
            </w:r>
          </w:p>
        </w:tc>
        <w:tc>
          <w:tcPr>
            <w:tcW w:w="890" w:type="dxa"/>
            <w:noWrap/>
          </w:tcPr>
          <w:p w14:paraId="16636876" w14:textId="5F4B2728" w:rsidR="00643ECF" w:rsidRPr="00B07B0D" w:rsidRDefault="00643ECF" w:rsidP="00844B0F">
            <w:pPr>
              <w:jc w:val="right"/>
              <w:rPr>
                <w:sz w:val="20"/>
                <w:szCs w:val="20"/>
                <w:lang w:val="en-US"/>
              </w:rPr>
            </w:pPr>
            <w:r w:rsidRPr="00B07B0D">
              <w:rPr>
                <w:sz w:val="20"/>
                <w:szCs w:val="20"/>
                <w:lang w:val="en-US"/>
              </w:rPr>
              <w:t>24.4</w:t>
            </w:r>
          </w:p>
        </w:tc>
        <w:tc>
          <w:tcPr>
            <w:tcW w:w="704" w:type="dxa"/>
            <w:noWrap/>
          </w:tcPr>
          <w:p w14:paraId="7EAB3A86" w14:textId="612A1BA5" w:rsidR="00643ECF" w:rsidRPr="00B07B0D" w:rsidRDefault="00643ECF" w:rsidP="00844B0F">
            <w:pPr>
              <w:jc w:val="right"/>
              <w:rPr>
                <w:sz w:val="20"/>
                <w:szCs w:val="20"/>
                <w:lang w:val="en-US"/>
              </w:rPr>
            </w:pPr>
            <w:r w:rsidRPr="00B07B0D">
              <w:rPr>
                <w:sz w:val="20"/>
                <w:szCs w:val="20"/>
                <w:lang w:val="en-US"/>
              </w:rPr>
              <w:t>52.98</w:t>
            </w:r>
          </w:p>
        </w:tc>
        <w:tc>
          <w:tcPr>
            <w:tcW w:w="765" w:type="dxa"/>
            <w:noWrap/>
          </w:tcPr>
          <w:p w14:paraId="09F127B6" w14:textId="27737B49" w:rsidR="00643ECF" w:rsidRPr="00B07B0D" w:rsidRDefault="00643ECF" w:rsidP="00844B0F">
            <w:pPr>
              <w:jc w:val="right"/>
              <w:rPr>
                <w:sz w:val="20"/>
                <w:szCs w:val="20"/>
                <w:lang w:val="en-US"/>
              </w:rPr>
            </w:pPr>
            <w:r w:rsidRPr="00B07B0D">
              <w:rPr>
                <w:sz w:val="20"/>
                <w:szCs w:val="20"/>
                <w:lang w:val="en-US"/>
              </w:rPr>
              <w:t>24.56</w:t>
            </w:r>
          </w:p>
        </w:tc>
        <w:tc>
          <w:tcPr>
            <w:tcW w:w="704" w:type="dxa"/>
            <w:noWrap/>
          </w:tcPr>
          <w:p w14:paraId="038D1C81" w14:textId="144D5A0B" w:rsidR="00643ECF" w:rsidRPr="00B07B0D" w:rsidRDefault="00643ECF" w:rsidP="00844B0F">
            <w:pPr>
              <w:jc w:val="right"/>
              <w:rPr>
                <w:sz w:val="20"/>
                <w:szCs w:val="20"/>
                <w:lang w:val="en-US"/>
              </w:rPr>
            </w:pPr>
            <w:r w:rsidRPr="00B07B0D">
              <w:rPr>
                <w:sz w:val="20"/>
                <w:szCs w:val="20"/>
                <w:lang w:val="en-US"/>
              </w:rPr>
              <w:t>53.21</w:t>
            </w:r>
          </w:p>
        </w:tc>
        <w:tc>
          <w:tcPr>
            <w:tcW w:w="765" w:type="dxa"/>
            <w:noWrap/>
          </w:tcPr>
          <w:p w14:paraId="578B3ADB" w14:textId="76840626" w:rsidR="00643ECF" w:rsidRPr="00B07B0D" w:rsidRDefault="00643ECF" w:rsidP="00844B0F">
            <w:pPr>
              <w:jc w:val="right"/>
              <w:rPr>
                <w:sz w:val="20"/>
                <w:szCs w:val="20"/>
                <w:lang w:val="en-US"/>
              </w:rPr>
            </w:pPr>
            <w:r w:rsidRPr="00B07B0D">
              <w:rPr>
                <w:sz w:val="20"/>
                <w:szCs w:val="20"/>
                <w:lang w:val="en-US"/>
              </w:rPr>
              <w:t>25.03</w:t>
            </w:r>
          </w:p>
        </w:tc>
        <w:tc>
          <w:tcPr>
            <w:tcW w:w="746" w:type="dxa"/>
            <w:noWrap/>
          </w:tcPr>
          <w:p w14:paraId="135DD407" w14:textId="41ECDBD0" w:rsidR="00643ECF" w:rsidRPr="00B07B0D" w:rsidRDefault="00643ECF" w:rsidP="00844B0F">
            <w:pPr>
              <w:jc w:val="right"/>
              <w:rPr>
                <w:sz w:val="20"/>
                <w:szCs w:val="20"/>
                <w:lang w:val="en-US"/>
              </w:rPr>
            </w:pPr>
            <w:r w:rsidRPr="00B07B0D">
              <w:rPr>
                <w:sz w:val="20"/>
                <w:szCs w:val="20"/>
                <w:lang w:val="en-US"/>
              </w:rPr>
              <w:t>54.05</w:t>
            </w:r>
          </w:p>
        </w:tc>
        <w:tc>
          <w:tcPr>
            <w:tcW w:w="777" w:type="dxa"/>
            <w:noWrap/>
          </w:tcPr>
          <w:p w14:paraId="119BDCAC" w14:textId="36B985B7" w:rsidR="00643ECF" w:rsidRPr="00B07B0D" w:rsidRDefault="00643ECF" w:rsidP="00844B0F">
            <w:pPr>
              <w:jc w:val="right"/>
              <w:rPr>
                <w:sz w:val="20"/>
                <w:szCs w:val="20"/>
                <w:lang w:val="en-US"/>
              </w:rPr>
            </w:pPr>
            <w:r w:rsidRPr="00B07B0D">
              <w:rPr>
                <w:sz w:val="20"/>
                <w:szCs w:val="20"/>
                <w:lang w:val="en-US"/>
              </w:rPr>
              <w:t>25.32</w:t>
            </w:r>
          </w:p>
        </w:tc>
      </w:tr>
      <w:tr w:rsidR="004A6221" w:rsidRPr="00B07B0D" w14:paraId="03D048A9" w14:textId="77777777" w:rsidTr="005C23ED">
        <w:trPr>
          <w:trHeight w:val="297"/>
          <w:jc w:val="center"/>
        </w:trPr>
        <w:tc>
          <w:tcPr>
            <w:tcW w:w="1525" w:type="dxa"/>
            <w:noWrap/>
          </w:tcPr>
          <w:p w14:paraId="3A123BD4" w14:textId="0EB1BE2A" w:rsidR="00643ECF" w:rsidRPr="00B07B0D" w:rsidRDefault="00643ECF" w:rsidP="00643ECF">
            <w:pPr>
              <w:jc w:val="left"/>
              <w:rPr>
                <w:sz w:val="20"/>
                <w:szCs w:val="20"/>
                <w:lang w:val="en-US"/>
              </w:rPr>
            </w:pPr>
            <w:r w:rsidRPr="00B07B0D">
              <w:rPr>
                <w:rFonts w:cstheme="minorBidi"/>
                <w:sz w:val="20"/>
                <w:szCs w:val="20"/>
                <w:lang w:val="en-US"/>
              </w:rPr>
              <w:t>BD_ATT</w:t>
            </w:r>
          </w:p>
        </w:tc>
        <w:tc>
          <w:tcPr>
            <w:tcW w:w="710" w:type="dxa"/>
            <w:noWrap/>
          </w:tcPr>
          <w:p w14:paraId="688E0A68" w14:textId="39F75CEE" w:rsidR="00643ECF" w:rsidRPr="00B07B0D" w:rsidRDefault="00643ECF" w:rsidP="00844B0F">
            <w:pPr>
              <w:jc w:val="right"/>
              <w:rPr>
                <w:sz w:val="20"/>
                <w:szCs w:val="20"/>
                <w:lang w:val="en-US"/>
              </w:rPr>
            </w:pPr>
            <w:r w:rsidRPr="00B07B0D">
              <w:rPr>
                <w:sz w:val="20"/>
                <w:szCs w:val="20"/>
                <w:lang w:val="en-US"/>
              </w:rPr>
              <w:t>97.06</w:t>
            </w:r>
          </w:p>
        </w:tc>
        <w:tc>
          <w:tcPr>
            <w:tcW w:w="890" w:type="dxa"/>
            <w:noWrap/>
          </w:tcPr>
          <w:p w14:paraId="2C32222E" w14:textId="61B4E80E" w:rsidR="00643ECF" w:rsidRPr="00B07B0D" w:rsidRDefault="00643ECF" w:rsidP="00844B0F">
            <w:pPr>
              <w:jc w:val="right"/>
              <w:rPr>
                <w:sz w:val="20"/>
                <w:szCs w:val="20"/>
                <w:lang w:val="en-US"/>
              </w:rPr>
            </w:pPr>
            <w:r w:rsidRPr="00B07B0D">
              <w:rPr>
                <w:sz w:val="20"/>
                <w:szCs w:val="20"/>
                <w:lang w:val="en-US"/>
              </w:rPr>
              <w:t>4.05</w:t>
            </w:r>
          </w:p>
        </w:tc>
        <w:tc>
          <w:tcPr>
            <w:tcW w:w="704" w:type="dxa"/>
            <w:noWrap/>
          </w:tcPr>
          <w:p w14:paraId="1A5615DB" w14:textId="743759DE" w:rsidR="00643ECF" w:rsidRPr="00B07B0D" w:rsidRDefault="00643ECF" w:rsidP="00844B0F">
            <w:pPr>
              <w:jc w:val="right"/>
              <w:rPr>
                <w:sz w:val="20"/>
                <w:szCs w:val="20"/>
                <w:lang w:val="en-US"/>
              </w:rPr>
            </w:pPr>
            <w:r w:rsidRPr="00B07B0D">
              <w:rPr>
                <w:sz w:val="20"/>
                <w:szCs w:val="20"/>
                <w:lang w:val="en-US"/>
              </w:rPr>
              <w:t>96.63</w:t>
            </w:r>
          </w:p>
        </w:tc>
        <w:tc>
          <w:tcPr>
            <w:tcW w:w="765" w:type="dxa"/>
            <w:noWrap/>
          </w:tcPr>
          <w:p w14:paraId="73912F8C" w14:textId="0A7F925D" w:rsidR="00643ECF" w:rsidRPr="00B07B0D" w:rsidRDefault="00643ECF" w:rsidP="00844B0F">
            <w:pPr>
              <w:jc w:val="right"/>
              <w:rPr>
                <w:sz w:val="20"/>
                <w:szCs w:val="20"/>
                <w:lang w:val="en-US"/>
              </w:rPr>
            </w:pPr>
            <w:r w:rsidRPr="00B07B0D">
              <w:rPr>
                <w:sz w:val="20"/>
                <w:szCs w:val="20"/>
                <w:lang w:val="en-US"/>
              </w:rPr>
              <w:t>4.05</w:t>
            </w:r>
          </w:p>
        </w:tc>
        <w:tc>
          <w:tcPr>
            <w:tcW w:w="704" w:type="dxa"/>
            <w:noWrap/>
          </w:tcPr>
          <w:p w14:paraId="23DA0885" w14:textId="5B1E9EE0" w:rsidR="00643ECF" w:rsidRPr="00B07B0D" w:rsidRDefault="00643ECF" w:rsidP="00844B0F">
            <w:pPr>
              <w:jc w:val="right"/>
              <w:rPr>
                <w:sz w:val="20"/>
                <w:szCs w:val="20"/>
                <w:lang w:val="en-US"/>
              </w:rPr>
            </w:pPr>
            <w:r w:rsidRPr="00B07B0D">
              <w:rPr>
                <w:sz w:val="20"/>
                <w:szCs w:val="20"/>
                <w:lang w:val="en-US"/>
              </w:rPr>
              <w:t>97.18</w:t>
            </w:r>
          </w:p>
        </w:tc>
        <w:tc>
          <w:tcPr>
            <w:tcW w:w="765" w:type="dxa"/>
            <w:noWrap/>
          </w:tcPr>
          <w:p w14:paraId="7E859720" w14:textId="40C1CDD8" w:rsidR="00643ECF" w:rsidRPr="00B07B0D" w:rsidRDefault="00643ECF" w:rsidP="00844B0F">
            <w:pPr>
              <w:jc w:val="right"/>
              <w:rPr>
                <w:sz w:val="20"/>
                <w:szCs w:val="20"/>
                <w:lang w:val="en-US"/>
              </w:rPr>
            </w:pPr>
            <w:r w:rsidRPr="00B07B0D">
              <w:rPr>
                <w:sz w:val="20"/>
                <w:szCs w:val="20"/>
                <w:lang w:val="en-US"/>
              </w:rPr>
              <w:t>3.54</w:t>
            </w:r>
          </w:p>
        </w:tc>
        <w:tc>
          <w:tcPr>
            <w:tcW w:w="746" w:type="dxa"/>
            <w:noWrap/>
          </w:tcPr>
          <w:p w14:paraId="6603AB65" w14:textId="6602A278" w:rsidR="00643ECF" w:rsidRPr="00B07B0D" w:rsidRDefault="00643ECF" w:rsidP="00844B0F">
            <w:pPr>
              <w:jc w:val="right"/>
              <w:rPr>
                <w:sz w:val="20"/>
                <w:szCs w:val="20"/>
                <w:lang w:val="en-US"/>
              </w:rPr>
            </w:pPr>
            <w:r w:rsidRPr="00B07B0D">
              <w:rPr>
                <w:sz w:val="20"/>
                <w:szCs w:val="20"/>
                <w:lang w:val="en-US"/>
              </w:rPr>
              <w:t>97.22</w:t>
            </w:r>
          </w:p>
        </w:tc>
        <w:tc>
          <w:tcPr>
            <w:tcW w:w="777" w:type="dxa"/>
            <w:noWrap/>
          </w:tcPr>
          <w:p w14:paraId="35D33CCD" w14:textId="0E1FCEFB" w:rsidR="00643ECF" w:rsidRPr="00B07B0D" w:rsidRDefault="00643ECF" w:rsidP="00844B0F">
            <w:pPr>
              <w:jc w:val="right"/>
              <w:rPr>
                <w:sz w:val="20"/>
                <w:szCs w:val="20"/>
                <w:lang w:val="en-US"/>
              </w:rPr>
            </w:pPr>
            <w:r w:rsidRPr="00B07B0D">
              <w:rPr>
                <w:sz w:val="20"/>
                <w:szCs w:val="20"/>
                <w:lang w:val="en-US"/>
              </w:rPr>
              <w:t>3.65</w:t>
            </w:r>
          </w:p>
        </w:tc>
      </w:tr>
      <w:tr w:rsidR="004A6221" w:rsidRPr="00B07B0D" w14:paraId="35F4F4B0" w14:textId="77777777" w:rsidTr="005C23ED">
        <w:trPr>
          <w:trHeight w:val="297"/>
          <w:jc w:val="center"/>
        </w:trPr>
        <w:tc>
          <w:tcPr>
            <w:tcW w:w="1525" w:type="dxa"/>
            <w:noWrap/>
          </w:tcPr>
          <w:p w14:paraId="68803A1B" w14:textId="5EB2C1C0" w:rsidR="00643ECF" w:rsidRPr="00B07B0D" w:rsidRDefault="00643ECF" w:rsidP="00643ECF">
            <w:pPr>
              <w:jc w:val="left"/>
              <w:rPr>
                <w:sz w:val="20"/>
                <w:szCs w:val="20"/>
                <w:lang w:val="en-US"/>
              </w:rPr>
            </w:pPr>
            <w:r w:rsidRPr="00B07B0D">
              <w:rPr>
                <w:rFonts w:cstheme="minorBidi"/>
                <w:sz w:val="20"/>
                <w:szCs w:val="20"/>
                <w:lang w:val="en-US"/>
              </w:rPr>
              <w:t>GEN_BD</w:t>
            </w:r>
          </w:p>
        </w:tc>
        <w:tc>
          <w:tcPr>
            <w:tcW w:w="710" w:type="dxa"/>
            <w:noWrap/>
          </w:tcPr>
          <w:p w14:paraId="1A421F4A" w14:textId="0F5268C5" w:rsidR="00643ECF" w:rsidRPr="00B07B0D" w:rsidRDefault="00643ECF" w:rsidP="00844B0F">
            <w:pPr>
              <w:jc w:val="right"/>
              <w:rPr>
                <w:sz w:val="20"/>
                <w:szCs w:val="20"/>
                <w:lang w:val="en-US"/>
              </w:rPr>
            </w:pPr>
            <w:r w:rsidRPr="00B07B0D">
              <w:rPr>
                <w:sz w:val="20"/>
                <w:szCs w:val="20"/>
                <w:lang w:val="en-US"/>
              </w:rPr>
              <w:t>56.24</w:t>
            </w:r>
          </w:p>
        </w:tc>
        <w:tc>
          <w:tcPr>
            <w:tcW w:w="890" w:type="dxa"/>
            <w:noWrap/>
          </w:tcPr>
          <w:p w14:paraId="75B7088F" w14:textId="678A06CF" w:rsidR="00643ECF" w:rsidRPr="00B07B0D" w:rsidRDefault="00643ECF" w:rsidP="00844B0F">
            <w:pPr>
              <w:jc w:val="right"/>
              <w:rPr>
                <w:sz w:val="20"/>
                <w:szCs w:val="20"/>
                <w:lang w:val="en-US"/>
              </w:rPr>
            </w:pPr>
            <w:r w:rsidRPr="00B07B0D">
              <w:rPr>
                <w:sz w:val="20"/>
                <w:szCs w:val="20"/>
                <w:lang w:val="en-US"/>
              </w:rPr>
              <w:t>26.58</w:t>
            </w:r>
          </w:p>
        </w:tc>
        <w:tc>
          <w:tcPr>
            <w:tcW w:w="704" w:type="dxa"/>
            <w:noWrap/>
          </w:tcPr>
          <w:p w14:paraId="09D05C60" w14:textId="35342AB6" w:rsidR="00643ECF" w:rsidRPr="00B07B0D" w:rsidRDefault="00643ECF" w:rsidP="00844B0F">
            <w:pPr>
              <w:jc w:val="right"/>
              <w:rPr>
                <w:sz w:val="20"/>
                <w:szCs w:val="20"/>
                <w:lang w:val="en-US"/>
              </w:rPr>
            </w:pPr>
            <w:r w:rsidRPr="00B07B0D">
              <w:rPr>
                <w:sz w:val="20"/>
                <w:szCs w:val="20"/>
                <w:lang w:val="en-US"/>
              </w:rPr>
              <w:t>55.24</w:t>
            </w:r>
          </w:p>
        </w:tc>
        <w:tc>
          <w:tcPr>
            <w:tcW w:w="765" w:type="dxa"/>
            <w:noWrap/>
          </w:tcPr>
          <w:p w14:paraId="19747D42" w14:textId="2D575718" w:rsidR="00643ECF" w:rsidRPr="00B07B0D" w:rsidRDefault="00643ECF" w:rsidP="00844B0F">
            <w:pPr>
              <w:jc w:val="right"/>
              <w:rPr>
                <w:sz w:val="20"/>
                <w:szCs w:val="20"/>
                <w:lang w:val="en-US"/>
              </w:rPr>
            </w:pPr>
            <w:r w:rsidRPr="00B07B0D">
              <w:rPr>
                <w:sz w:val="20"/>
                <w:szCs w:val="20"/>
                <w:lang w:val="en-US"/>
              </w:rPr>
              <w:t>26.31</w:t>
            </w:r>
          </w:p>
        </w:tc>
        <w:tc>
          <w:tcPr>
            <w:tcW w:w="704" w:type="dxa"/>
            <w:noWrap/>
          </w:tcPr>
          <w:p w14:paraId="24F6112A" w14:textId="0AB4F86E" w:rsidR="00643ECF" w:rsidRPr="00B07B0D" w:rsidRDefault="00643ECF" w:rsidP="00844B0F">
            <w:pPr>
              <w:jc w:val="right"/>
              <w:rPr>
                <w:sz w:val="20"/>
                <w:szCs w:val="20"/>
                <w:lang w:val="en-US"/>
              </w:rPr>
            </w:pPr>
            <w:r w:rsidRPr="00B07B0D">
              <w:rPr>
                <w:sz w:val="20"/>
                <w:szCs w:val="20"/>
                <w:lang w:val="en-US"/>
              </w:rPr>
              <w:t>55.99</w:t>
            </w:r>
          </w:p>
        </w:tc>
        <w:tc>
          <w:tcPr>
            <w:tcW w:w="765" w:type="dxa"/>
            <w:noWrap/>
          </w:tcPr>
          <w:p w14:paraId="0EFD36FA" w14:textId="5BAB5D17" w:rsidR="00643ECF" w:rsidRPr="00B07B0D" w:rsidRDefault="00643ECF" w:rsidP="00844B0F">
            <w:pPr>
              <w:jc w:val="right"/>
              <w:rPr>
                <w:sz w:val="20"/>
                <w:szCs w:val="20"/>
                <w:lang w:val="en-US"/>
              </w:rPr>
            </w:pPr>
            <w:r w:rsidRPr="00B07B0D">
              <w:rPr>
                <w:sz w:val="20"/>
                <w:szCs w:val="20"/>
                <w:lang w:val="en-US"/>
              </w:rPr>
              <w:t>26.58</w:t>
            </w:r>
          </w:p>
        </w:tc>
        <w:tc>
          <w:tcPr>
            <w:tcW w:w="746" w:type="dxa"/>
            <w:noWrap/>
          </w:tcPr>
          <w:p w14:paraId="2332C992" w14:textId="581F1FFC" w:rsidR="00643ECF" w:rsidRPr="00B07B0D" w:rsidRDefault="00643ECF" w:rsidP="00844B0F">
            <w:pPr>
              <w:jc w:val="right"/>
              <w:rPr>
                <w:sz w:val="20"/>
                <w:szCs w:val="20"/>
                <w:lang w:val="en-US"/>
              </w:rPr>
            </w:pPr>
            <w:r w:rsidRPr="00B07B0D">
              <w:rPr>
                <w:sz w:val="20"/>
                <w:szCs w:val="20"/>
                <w:lang w:val="en-US"/>
              </w:rPr>
              <w:t>55.86</w:t>
            </w:r>
          </w:p>
        </w:tc>
        <w:tc>
          <w:tcPr>
            <w:tcW w:w="777" w:type="dxa"/>
            <w:noWrap/>
          </w:tcPr>
          <w:p w14:paraId="6E6BBB15" w14:textId="3D1ADE37" w:rsidR="00643ECF" w:rsidRPr="00B07B0D" w:rsidRDefault="00643ECF" w:rsidP="00844B0F">
            <w:pPr>
              <w:jc w:val="right"/>
              <w:rPr>
                <w:sz w:val="20"/>
                <w:szCs w:val="20"/>
                <w:lang w:val="en-US"/>
              </w:rPr>
            </w:pPr>
            <w:r w:rsidRPr="00B07B0D">
              <w:rPr>
                <w:sz w:val="20"/>
                <w:szCs w:val="20"/>
                <w:lang w:val="en-US"/>
              </w:rPr>
              <w:t>26.82</w:t>
            </w:r>
          </w:p>
        </w:tc>
      </w:tr>
      <w:tr w:rsidR="004A6221" w:rsidRPr="00B07B0D" w14:paraId="4758E068" w14:textId="77777777" w:rsidTr="005C23ED">
        <w:trPr>
          <w:trHeight w:val="297"/>
          <w:jc w:val="center"/>
        </w:trPr>
        <w:tc>
          <w:tcPr>
            <w:tcW w:w="1525" w:type="dxa"/>
            <w:noWrap/>
          </w:tcPr>
          <w:p w14:paraId="115BD8AF" w14:textId="0883CE1E" w:rsidR="00643ECF" w:rsidRPr="00B07B0D" w:rsidRDefault="00643ECF" w:rsidP="00643ECF">
            <w:pPr>
              <w:jc w:val="left"/>
              <w:rPr>
                <w:sz w:val="20"/>
                <w:szCs w:val="20"/>
                <w:lang w:val="en-US"/>
              </w:rPr>
            </w:pPr>
            <w:r w:rsidRPr="00B07B0D">
              <w:rPr>
                <w:rFonts w:cstheme="minorBidi"/>
                <w:sz w:val="20"/>
                <w:szCs w:val="20"/>
                <w:lang w:val="en-US"/>
              </w:rPr>
              <w:t>GEN_EXEC</w:t>
            </w:r>
          </w:p>
        </w:tc>
        <w:tc>
          <w:tcPr>
            <w:tcW w:w="710" w:type="dxa"/>
            <w:noWrap/>
          </w:tcPr>
          <w:p w14:paraId="0B9475C3" w14:textId="4ACBAB63" w:rsidR="00643ECF" w:rsidRPr="00B07B0D" w:rsidRDefault="00643ECF" w:rsidP="00844B0F">
            <w:pPr>
              <w:jc w:val="right"/>
              <w:rPr>
                <w:sz w:val="20"/>
                <w:szCs w:val="20"/>
                <w:lang w:val="en-US"/>
              </w:rPr>
            </w:pPr>
            <w:r w:rsidRPr="00B07B0D">
              <w:rPr>
                <w:sz w:val="20"/>
                <w:szCs w:val="20"/>
                <w:lang w:val="en-US"/>
              </w:rPr>
              <w:t>21.89</w:t>
            </w:r>
          </w:p>
        </w:tc>
        <w:tc>
          <w:tcPr>
            <w:tcW w:w="890" w:type="dxa"/>
            <w:noWrap/>
          </w:tcPr>
          <w:p w14:paraId="5976788E" w14:textId="027AD2C7" w:rsidR="00643ECF" w:rsidRPr="00B07B0D" w:rsidRDefault="00643ECF" w:rsidP="00844B0F">
            <w:pPr>
              <w:jc w:val="right"/>
              <w:rPr>
                <w:sz w:val="20"/>
                <w:szCs w:val="20"/>
                <w:lang w:val="en-US"/>
              </w:rPr>
            </w:pPr>
            <w:r w:rsidRPr="00B07B0D">
              <w:rPr>
                <w:sz w:val="20"/>
                <w:szCs w:val="20"/>
                <w:lang w:val="en-US"/>
              </w:rPr>
              <w:t>17.13</w:t>
            </w:r>
          </w:p>
        </w:tc>
        <w:tc>
          <w:tcPr>
            <w:tcW w:w="704" w:type="dxa"/>
            <w:noWrap/>
          </w:tcPr>
          <w:p w14:paraId="30FBBAB3" w14:textId="3CF4DFA7" w:rsidR="00643ECF" w:rsidRPr="00B07B0D" w:rsidRDefault="00643ECF" w:rsidP="00844B0F">
            <w:pPr>
              <w:jc w:val="right"/>
              <w:rPr>
                <w:sz w:val="20"/>
                <w:szCs w:val="20"/>
                <w:lang w:val="en-US"/>
              </w:rPr>
            </w:pPr>
            <w:r w:rsidRPr="00B07B0D">
              <w:rPr>
                <w:sz w:val="20"/>
                <w:szCs w:val="20"/>
                <w:lang w:val="en-US"/>
              </w:rPr>
              <w:t>20.06</w:t>
            </w:r>
          </w:p>
        </w:tc>
        <w:tc>
          <w:tcPr>
            <w:tcW w:w="765" w:type="dxa"/>
            <w:noWrap/>
          </w:tcPr>
          <w:p w14:paraId="44363A12" w14:textId="1934EED4" w:rsidR="00643ECF" w:rsidRPr="00B07B0D" w:rsidRDefault="00643ECF" w:rsidP="00844B0F">
            <w:pPr>
              <w:jc w:val="right"/>
              <w:rPr>
                <w:sz w:val="20"/>
                <w:szCs w:val="20"/>
                <w:lang w:val="en-US"/>
              </w:rPr>
            </w:pPr>
            <w:r w:rsidRPr="00B07B0D">
              <w:rPr>
                <w:sz w:val="20"/>
                <w:szCs w:val="20"/>
                <w:lang w:val="en-US"/>
              </w:rPr>
              <w:t>16.08</w:t>
            </w:r>
          </w:p>
        </w:tc>
        <w:tc>
          <w:tcPr>
            <w:tcW w:w="704" w:type="dxa"/>
            <w:noWrap/>
          </w:tcPr>
          <w:p w14:paraId="6F5EA498" w14:textId="1EBAE760" w:rsidR="00643ECF" w:rsidRPr="00B07B0D" w:rsidRDefault="00643ECF" w:rsidP="00844B0F">
            <w:pPr>
              <w:jc w:val="right"/>
              <w:rPr>
                <w:sz w:val="20"/>
                <w:szCs w:val="20"/>
                <w:lang w:val="en-US"/>
              </w:rPr>
            </w:pPr>
            <w:r w:rsidRPr="00B07B0D">
              <w:rPr>
                <w:sz w:val="20"/>
                <w:szCs w:val="20"/>
                <w:lang w:val="en-US"/>
              </w:rPr>
              <w:t>18.58</w:t>
            </w:r>
          </w:p>
        </w:tc>
        <w:tc>
          <w:tcPr>
            <w:tcW w:w="765" w:type="dxa"/>
            <w:noWrap/>
          </w:tcPr>
          <w:p w14:paraId="1CDD562E" w14:textId="034B15BC" w:rsidR="00643ECF" w:rsidRPr="00B07B0D" w:rsidRDefault="00643ECF" w:rsidP="00844B0F">
            <w:pPr>
              <w:jc w:val="right"/>
              <w:rPr>
                <w:sz w:val="20"/>
                <w:szCs w:val="20"/>
                <w:lang w:val="en-US"/>
              </w:rPr>
            </w:pPr>
            <w:r w:rsidRPr="00B07B0D">
              <w:rPr>
                <w:sz w:val="20"/>
                <w:szCs w:val="20"/>
                <w:lang w:val="en-US"/>
              </w:rPr>
              <w:t>15.36</w:t>
            </w:r>
          </w:p>
        </w:tc>
        <w:tc>
          <w:tcPr>
            <w:tcW w:w="746" w:type="dxa"/>
            <w:noWrap/>
          </w:tcPr>
          <w:p w14:paraId="723FD908" w14:textId="728D8830" w:rsidR="00643ECF" w:rsidRPr="00B07B0D" w:rsidRDefault="00643ECF" w:rsidP="00844B0F">
            <w:pPr>
              <w:jc w:val="right"/>
              <w:rPr>
                <w:sz w:val="20"/>
                <w:szCs w:val="20"/>
                <w:lang w:val="en-US"/>
              </w:rPr>
            </w:pPr>
            <w:r w:rsidRPr="00B07B0D">
              <w:rPr>
                <w:sz w:val="20"/>
                <w:szCs w:val="20"/>
                <w:lang w:val="en-US"/>
              </w:rPr>
              <w:t>17.34</w:t>
            </w:r>
          </w:p>
        </w:tc>
        <w:tc>
          <w:tcPr>
            <w:tcW w:w="777" w:type="dxa"/>
            <w:noWrap/>
          </w:tcPr>
          <w:p w14:paraId="1675FC33" w14:textId="3AAE90CD" w:rsidR="00643ECF" w:rsidRPr="00B07B0D" w:rsidRDefault="00643ECF" w:rsidP="00844B0F">
            <w:pPr>
              <w:jc w:val="right"/>
              <w:rPr>
                <w:sz w:val="20"/>
                <w:szCs w:val="20"/>
                <w:lang w:val="en-US"/>
              </w:rPr>
            </w:pPr>
            <w:r w:rsidRPr="00B07B0D">
              <w:rPr>
                <w:sz w:val="20"/>
                <w:szCs w:val="20"/>
                <w:lang w:val="en-US"/>
              </w:rPr>
              <w:t>15.13</w:t>
            </w:r>
          </w:p>
        </w:tc>
      </w:tr>
      <w:tr w:rsidR="004A6221" w:rsidRPr="00B07B0D" w14:paraId="4BBEC0B1" w14:textId="77777777" w:rsidTr="005C23ED">
        <w:trPr>
          <w:trHeight w:val="297"/>
          <w:jc w:val="center"/>
        </w:trPr>
        <w:tc>
          <w:tcPr>
            <w:tcW w:w="1525" w:type="dxa"/>
            <w:noWrap/>
          </w:tcPr>
          <w:p w14:paraId="37A5D23E" w14:textId="7B1D2CBC" w:rsidR="00643ECF" w:rsidRPr="00B07B0D" w:rsidRDefault="00643ECF" w:rsidP="00643ECF">
            <w:pPr>
              <w:jc w:val="left"/>
              <w:rPr>
                <w:sz w:val="20"/>
                <w:szCs w:val="20"/>
                <w:lang w:val="en-US"/>
              </w:rPr>
            </w:pPr>
            <w:r w:rsidRPr="00B07B0D">
              <w:rPr>
                <w:rFonts w:cstheme="minorBidi"/>
                <w:sz w:val="20"/>
                <w:szCs w:val="20"/>
                <w:lang w:val="en-US"/>
              </w:rPr>
              <w:t>AUD_EXP</w:t>
            </w:r>
          </w:p>
        </w:tc>
        <w:tc>
          <w:tcPr>
            <w:tcW w:w="710" w:type="dxa"/>
            <w:noWrap/>
          </w:tcPr>
          <w:p w14:paraId="6F7F73E8" w14:textId="55F5E083" w:rsidR="00643ECF" w:rsidRPr="00B07B0D" w:rsidRDefault="00643ECF" w:rsidP="00844B0F">
            <w:pPr>
              <w:jc w:val="right"/>
              <w:rPr>
                <w:sz w:val="20"/>
                <w:szCs w:val="20"/>
                <w:lang w:val="en-US"/>
              </w:rPr>
            </w:pPr>
            <w:r w:rsidRPr="00B07B0D">
              <w:rPr>
                <w:sz w:val="20"/>
                <w:szCs w:val="20"/>
                <w:lang w:val="en-US"/>
              </w:rPr>
              <w:t>59.72</w:t>
            </w:r>
          </w:p>
        </w:tc>
        <w:tc>
          <w:tcPr>
            <w:tcW w:w="890" w:type="dxa"/>
            <w:noWrap/>
          </w:tcPr>
          <w:p w14:paraId="078E6DE4" w14:textId="54B2EBD6" w:rsidR="00643ECF" w:rsidRPr="00B07B0D" w:rsidRDefault="00643ECF" w:rsidP="00844B0F">
            <w:pPr>
              <w:jc w:val="right"/>
              <w:rPr>
                <w:sz w:val="20"/>
                <w:szCs w:val="20"/>
                <w:lang w:val="en-US"/>
              </w:rPr>
            </w:pPr>
            <w:r w:rsidRPr="00B07B0D">
              <w:rPr>
                <w:sz w:val="20"/>
                <w:szCs w:val="20"/>
                <w:lang w:val="en-US"/>
              </w:rPr>
              <w:t>22.36</w:t>
            </w:r>
          </w:p>
        </w:tc>
        <w:tc>
          <w:tcPr>
            <w:tcW w:w="704" w:type="dxa"/>
            <w:noWrap/>
          </w:tcPr>
          <w:p w14:paraId="7E1A78CD" w14:textId="6F0E604F" w:rsidR="00643ECF" w:rsidRPr="00B07B0D" w:rsidRDefault="00643ECF" w:rsidP="00844B0F">
            <w:pPr>
              <w:jc w:val="right"/>
              <w:rPr>
                <w:sz w:val="20"/>
                <w:szCs w:val="20"/>
                <w:lang w:val="en-US"/>
              </w:rPr>
            </w:pPr>
            <w:r w:rsidRPr="00B07B0D">
              <w:rPr>
                <w:sz w:val="20"/>
                <w:szCs w:val="20"/>
                <w:lang w:val="en-US"/>
              </w:rPr>
              <w:t>55.66</w:t>
            </w:r>
          </w:p>
        </w:tc>
        <w:tc>
          <w:tcPr>
            <w:tcW w:w="765" w:type="dxa"/>
            <w:noWrap/>
          </w:tcPr>
          <w:p w14:paraId="58993A6C" w14:textId="1591A24D" w:rsidR="00643ECF" w:rsidRPr="00B07B0D" w:rsidRDefault="00643ECF" w:rsidP="00844B0F">
            <w:pPr>
              <w:jc w:val="right"/>
              <w:rPr>
                <w:sz w:val="20"/>
                <w:szCs w:val="20"/>
                <w:lang w:val="en-US"/>
              </w:rPr>
            </w:pPr>
            <w:r w:rsidRPr="00B07B0D">
              <w:rPr>
                <w:sz w:val="20"/>
                <w:szCs w:val="20"/>
                <w:lang w:val="en-US"/>
              </w:rPr>
              <w:t>26.68</w:t>
            </w:r>
          </w:p>
        </w:tc>
        <w:tc>
          <w:tcPr>
            <w:tcW w:w="704" w:type="dxa"/>
            <w:noWrap/>
          </w:tcPr>
          <w:p w14:paraId="09631515" w14:textId="0F0C1128" w:rsidR="00643ECF" w:rsidRPr="00B07B0D" w:rsidRDefault="00643ECF" w:rsidP="00844B0F">
            <w:pPr>
              <w:jc w:val="right"/>
              <w:rPr>
                <w:sz w:val="20"/>
                <w:szCs w:val="20"/>
                <w:lang w:val="en-US"/>
              </w:rPr>
            </w:pPr>
            <w:r w:rsidRPr="00B07B0D">
              <w:rPr>
                <w:sz w:val="20"/>
                <w:szCs w:val="20"/>
                <w:lang w:val="en-US"/>
              </w:rPr>
              <w:t>54.02</w:t>
            </w:r>
          </w:p>
        </w:tc>
        <w:tc>
          <w:tcPr>
            <w:tcW w:w="765" w:type="dxa"/>
            <w:noWrap/>
          </w:tcPr>
          <w:p w14:paraId="392C83EC" w14:textId="5CFAF350" w:rsidR="00643ECF" w:rsidRPr="00B07B0D" w:rsidRDefault="00643ECF" w:rsidP="00844B0F">
            <w:pPr>
              <w:jc w:val="right"/>
              <w:rPr>
                <w:sz w:val="20"/>
                <w:szCs w:val="20"/>
                <w:lang w:val="en-US"/>
              </w:rPr>
            </w:pPr>
            <w:r w:rsidRPr="00B07B0D">
              <w:rPr>
                <w:sz w:val="20"/>
                <w:szCs w:val="20"/>
                <w:lang w:val="en-US"/>
              </w:rPr>
              <w:t>28.34</w:t>
            </w:r>
          </w:p>
        </w:tc>
        <w:tc>
          <w:tcPr>
            <w:tcW w:w="746" w:type="dxa"/>
            <w:noWrap/>
          </w:tcPr>
          <w:p w14:paraId="7BCDBE89" w14:textId="22551E5A" w:rsidR="00643ECF" w:rsidRPr="00B07B0D" w:rsidRDefault="00643ECF" w:rsidP="00844B0F">
            <w:pPr>
              <w:jc w:val="right"/>
              <w:rPr>
                <w:sz w:val="20"/>
                <w:szCs w:val="20"/>
                <w:lang w:val="en-US"/>
              </w:rPr>
            </w:pPr>
            <w:r w:rsidRPr="00B07B0D">
              <w:rPr>
                <w:sz w:val="20"/>
                <w:szCs w:val="20"/>
                <w:lang w:val="en-US"/>
              </w:rPr>
              <w:t>52.07</w:t>
            </w:r>
          </w:p>
        </w:tc>
        <w:tc>
          <w:tcPr>
            <w:tcW w:w="777" w:type="dxa"/>
            <w:noWrap/>
          </w:tcPr>
          <w:p w14:paraId="1F138AC1" w14:textId="367A37D1" w:rsidR="00643ECF" w:rsidRPr="00B07B0D" w:rsidRDefault="00643ECF" w:rsidP="00844B0F">
            <w:pPr>
              <w:jc w:val="right"/>
              <w:rPr>
                <w:sz w:val="20"/>
                <w:szCs w:val="20"/>
                <w:lang w:val="en-US"/>
              </w:rPr>
            </w:pPr>
            <w:r w:rsidRPr="00B07B0D">
              <w:rPr>
                <w:sz w:val="20"/>
                <w:szCs w:val="20"/>
                <w:lang w:val="en-US"/>
              </w:rPr>
              <w:t>30.49</w:t>
            </w:r>
          </w:p>
        </w:tc>
      </w:tr>
      <w:tr w:rsidR="004A6221" w:rsidRPr="00B07B0D" w14:paraId="56F2879E" w14:textId="77777777" w:rsidTr="005C23ED">
        <w:trPr>
          <w:trHeight w:val="297"/>
          <w:jc w:val="center"/>
        </w:trPr>
        <w:tc>
          <w:tcPr>
            <w:tcW w:w="1525" w:type="dxa"/>
            <w:noWrap/>
          </w:tcPr>
          <w:p w14:paraId="6FF31114" w14:textId="456ED5AB" w:rsidR="00643ECF" w:rsidRPr="00B07B0D" w:rsidRDefault="00643ECF" w:rsidP="00643ECF">
            <w:pPr>
              <w:rPr>
                <w:rFonts w:cstheme="minorBidi"/>
                <w:sz w:val="20"/>
                <w:szCs w:val="20"/>
                <w:lang w:val="en-US"/>
              </w:rPr>
            </w:pPr>
            <w:r w:rsidRPr="00B07B0D">
              <w:rPr>
                <w:rFonts w:cstheme="minorBidi"/>
                <w:sz w:val="20"/>
                <w:szCs w:val="20"/>
                <w:lang w:val="en-US"/>
              </w:rPr>
              <w:t>AUD_NONEX</w:t>
            </w:r>
          </w:p>
        </w:tc>
        <w:tc>
          <w:tcPr>
            <w:tcW w:w="710" w:type="dxa"/>
            <w:noWrap/>
          </w:tcPr>
          <w:p w14:paraId="5AE310BE" w14:textId="09BC0D98" w:rsidR="00643ECF" w:rsidRPr="00B07B0D" w:rsidRDefault="00643ECF" w:rsidP="00844B0F">
            <w:pPr>
              <w:jc w:val="right"/>
              <w:rPr>
                <w:sz w:val="20"/>
                <w:szCs w:val="20"/>
                <w:lang w:val="en-US"/>
              </w:rPr>
            </w:pPr>
            <w:r w:rsidRPr="00B07B0D">
              <w:rPr>
                <w:sz w:val="20"/>
                <w:szCs w:val="20"/>
                <w:lang w:val="en-US"/>
              </w:rPr>
              <w:t>48.3</w:t>
            </w:r>
          </w:p>
        </w:tc>
        <w:tc>
          <w:tcPr>
            <w:tcW w:w="890" w:type="dxa"/>
            <w:noWrap/>
          </w:tcPr>
          <w:p w14:paraId="54063931" w14:textId="0E622A55" w:rsidR="00643ECF" w:rsidRPr="00B07B0D" w:rsidRDefault="00643ECF" w:rsidP="00844B0F">
            <w:pPr>
              <w:jc w:val="right"/>
              <w:rPr>
                <w:sz w:val="20"/>
                <w:szCs w:val="20"/>
                <w:lang w:val="en-US"/>
              </w:rPr>
            </w:pPr>
            <w:r w:rsidRPr="00B07B0D">
              <w:rPr>
                <w:sz w:val="20"/>
                <w:szCs w:val="20"/>
                <w:lang w:val="en-US"/>
              </w:rPr>
              <w:t>17.91</w:t>
            </w:r>
          </w:p>
        </w:tc>
        <w:tc>
          <w:tcPr>
            <w:tcW w:w="704" w:type="dxa"/>
            <w:noWrap/>
          </w:tcPr>
          <w:p w14:paraId="0DCCE36C" w14:textId="66FEB580" w:rsidR="00643ECF" w:rsidRPr="00B07B0D" w:rsidRDefault="00643ECF" w:rsidP="00844B0F">
            <w:pPr>
              <w:jc w:val="right"/>
              <w:rPr>
                <w:sz w:val="20"/>
                <w:szCs w:val="20"/>
                <w:lang w:val="en-US"/>
              </w:rPr>
            </w:pPr>
            <w:r w:rsidRPr="00B07B0D">
              <w:rPr>
                <w:sz w:val="20"/>
                <w:szCs w:val="20"/>
                <w:lang w:val="en-US"/>
              </w:rPr>
              <w:t>48.25</w:t>
            </w:r>
          </w:p>
        </w:tc>
        <w:tc>
          <w:tcPr>
            <w:tcW w:w="765" w:type="dxa"/>
            <w:noWrap/>
          </w:tcPr>
          <w:p w14:paraId="083D58D1" w14:textId="5485D94C" w:rsidR="00643ECF" w:rsidRPr="00B07B0D" w:rsidRDefault="00643ECF" w:rsidP="00844B0F">
            <w:pPr>
              <w:jc w:val="right"/>
              <w:rPr>
                <w:sz w:val="20"/>
                <w:szCs w:val="20"/>
                <w:lang w:val="en-US"/>
              </w:rPr>
            </w:pPr>
            <w:r w:rsidRPr="00B07B0D">
              <w:rPr>
                <w:sz w:val="20"/>
                <w:szCs w:val="20"/>
                <w:lang w:val="en-US"/>
              </w:rPr>
              <w:t>19.75</w:t>
            </w:r>
          </w:p>
        </w:tc>
        <w:tc>
          <w:tcPr>
            <w:tcW w:w="704" w:type="dxa"/>
            <w:noWrap/>
          </w:tcPr>
          <w:p w14:paraId="3484EE58" w14:textId="2DEE24BB" w:rsidR="00643ECF" w:rsidRPr="00B07B0D" w:rsidRDefault="00643ECF" w:rsidP="00844B0F">
            <w:pPr>
              <w:jc w:val="right"/>
              <w:rPr>
                <w:sz w:val="20"/>
                <w:szCs w:val="20"/>
                <w:lang w:val="en-US"/>
              </w:rPr>
            </w:pPr>
            <w:r w:rsidRPr="00B07B0D">
              <w:rPr>
                <w:sz w:val="20"/>
                <w:szCs w:val="20"/>
                <w:lang w:val="en-US"/>
              </w:rPr>
              <w:t>48.55</w:t>
            </w:r>
          </w:p>
        </w:tc>
        <w:tc>
          <w:tcPr>
            <w:tcW w:w="765" w:type="dxa"/>
            <w:noWrap/>
          </w:tcPr>
          <w:p w14:paraId="6AB86415" w14:textId="2403F7E5" w:rsidR="00643ECF" w:rsidRPr="00B07B0D" w:rsidRDefault="00643ECF" w:rsidP="00844B0F">
            <w:pPr>
              <w:jc w:val="right"/>
              <w:rPr>
                <w:sz w:val="20"/>
                <w:szCs w:val="20"/>
                <w:lang w:val="en-US"/>
              </w:rPr>
            </w:pPr>
            <w:r w:rsidRPr="00B07B0D">
              <w:rPr>
                <w:sz w:val="20"/>
                <w:szCs w:val="20"/>
                <w:lang w:val="en-US"/>
              </w:rPr>
              <w:t>20.29</w:t>
            </w:r>
          </w:p>
        </w:tc>
        <w:tc>
          <w:tcPr>
            <w:tcW w:w="746" w:type="dxa"/>
            <w:noWrap/>
          </w:tcPr>
          <w:p w14:paraId="3EE469B9" w14:textId="4749DD7D" w:rsidR="00643ECF" w:rsidRPr="00B07B0D" w:rsidRDefault="00643ECF" w:rsidP="00844B0F">
            <w:pPr>
              <w:jc w:val="right"/>
              <w:rPr>
                <w:sz w:val="20"/>
                <w:szCs w:val="20"/>
                <w:lang w:val="en-US"/>
              </w:rPr>
            </w:pPr>
            <w:r w:rsidRPr="00B07B0D">
              <w:rPr>
                <w:sz w:val="20"/>
                <w:szCs w:val="20"/>
                <w:lang w:val="en-US"/>
              </w:rPr>
              <w:t>48.06</w:t>
            </w:r>
          </w:p>
        </w:tc>
        <w:tc>
          <w:tcPr>
            <w:tcW w:w="777" w:type="dxa"/>
            <w:noWrap/>
          </w:tcPr>
          <w:p w14:paraId="5BB8ADDB" w14:textId="77C2E151" w:rsidR="00643ECF" w:rsidRPr="00B07B0D" w:rsidRDefault="00643ECF" w:rsidP="00844B0F">
            <w:pPr>
              <w:jc w:val="right"/>
              <w:rPr>
                <w:sz w:val="20"/>
                <w:szCs w:val="20"/>
                <w:lang w:val="en-US"/>
              </w:rPr>
            </w:pPr>
            <w:r w:rsidRPr="00B07B0D">
              <w:rPr>
                <w:sz w:val="20"/>
                <w:szCs w:val="20"/>
                <w:lang w:val="en-US"/>
              </w:rPr>
              <w:t>21.64</w:t>
            </w:r>
          </w:p>
        </w:tc>
      </w:tr>
      <w:tr w:rsidR="004A6221" w:rsidRPr="00B07B0D" w14:paraId="0188AA46" w14:textId="77777777" w:rsidTr="005C23ED">
        <w:trPr>
          <w:trHeight w:val="297"/>
          <w:jc w:val="center"/>
        </w:trPr>
        <w:tc>
          <w:tcPr>
            <w:tcW w:w="1525" w:type="dxa"/>
            <w:noWrap/>
          </w:tcPr>
          <w:p w14:paraId="3149A92B" w14:textId="2834B750" w:rsidR="00643ECF" w:rsidRPr="00B07B0D" w:rsidRDefault="00643ECF" w:rsidP="00643ECF">
            <w:pPr>
              <w:jc w:val="left"/>
              <w:rPr>
                <w:sz w:val="20"/>
                <w:szCs w:val="20"/>
                <w:lang w:val="en-US"/>
              </w:rPr>
            </w:pPr>
            <w:r w:rsidRPr="00B07B0D">
              <w:rPr>
                <w:rFonts w:cstheme="minorBidi"/>
                <w:sz w:val="20"/>
                <w:szCs w:val="20"/>
                <w:lang w:val="en-US"/>
              </w:rPr>
              <w:t>AUD_IND</w:t>
            </w:r>
          </w:p>
        </w:tc>
        <w:tc>
          <w:tcPr>
            <w:tcW w:w="710" w:type="dxa"/>
            <w:noWrap/>
          </w:tcPr>
          <w:p w14:paraId="71EB9841" w14:textId="0A4AE9A0" w:rsidR="00643ECF" w:rsidRPr="00B07B0D" w:rsidRDefault="00643ECF" w:rsidP="00844B0F">
            <w:pPr>
              <w:jc w:val="right"/>
              <w:rPr>
                <w:sz w:val="20"/>
                <w:szCs w:val="20"/>
                <w:lang w:val="en-US"/>
              </w:rPr>
            </w:pPr>
            <w:r w:rsidRPr="00B07B0D">
              <w:rPr>
                <w:sz w:val="20"/>
                <w:szCs w:val="20"/>
                <w:lang w:val="en-US"/>
              </w:rPr>
              <w:t>51.7</w:t>
            </w:r>
          </w:p>
        </w:tc>
        <w:tc>
          <w:tcPr>
            <w:tcW w:w="890" w:type="dxa"/>
            <w:noWrap/>
          </w:tcPr>
          <w:p w14:paraId="763CFA4F" w14:textId="76F142B7" w:rsidR="00643ECF" w:rsidRPr="00B07B0D" w:rsidRDefault="00643ECF" w:rsidP="00844B0F">
            <w:pPr>
              <w:jc w:val="right"/>
              <w:rPr>
                <w:sz w:val="20"/>
                <w:szCs w:val="20"/>
                <w:lang w:val="en-US"/>
              </w:rPr>
            </w:pPr>
            <w:r w:rsidRPr="00B07B0D">
              <w:rPr>
                <w:sz w:val="20"/>
                <w:szCs w:val="20"/>
                <w:lang w:val="en-US"/>
              </w:rPr>
              <w:t>25.27</w:t>
            </w:r>
          </w:p>
        </w:tc>
        <w:tc>
          <w:tcPr>
            <w:tcW w:w="704" w:type="dxa"/>
            <w:noWrap/>
          </w:tcPr>
          <w:p w14:paraId="1C5B9CEA" w14:textId="20994B09" w:rsidR="00643ECF" w:rsidRPr="00B07B0D" w:rsidRDefault="00643ECF" w:rsidP="00844B0F">
            <w:pPr>
              <w:jc w:val="right"/>
              <w:rPr>
                <w:sz w:val="20"/>
                <w:szCs w:val="20"/>
                <w:lang w:val="en-US"/>
              </w:rPr>
            </w:pPr>
            <w:r w:rsidRPr="00B07B0D">
              <w:rPr>
                <w:sz w:val="20"/>
                <w:szCs w:val="20"/>
                <w:lang w:val="en-US"/>
              </w:rPr>
              <w:t>51.4</w:t>
            </w:r>
          </w:p>
        </w:tc>
        <w:tc>
          <w:tcPr>
            <w:tcW w:w="765" w:type="dxa"/>
            <w:noWrap/>
          </w:tcPr>
          <w:p w14:paraId="019F8C5C" w14:textId="33E0691E" w:rsidR="00643ECF" w:rsidRPr="00B07B0D" w:rsidRDefault="00643ECF" w:rsidP="00844B0F">
            <w:pPr>
              <w:jc w:val="right"/>
              <w:rPr>
                <w:sz w:val="20"/>
                <w:szCs w:val="20"/>
                <w:lang w:val="en-US"/>
              </w:rPr>
            </w:pPr>
            <w:r w:rsidRPr="00B07B0D">
              <w:rPr>
                <w:sz w:val="20"/>
                <w:szCs w:val="20"/>
                <w:lang w:val="en-US"/>
              </w:rPr>
              <w:t>26.62</w:t>
            </w:r>
          </w:p>
        </w:tc>
        <w:tc>
          <w:tcPr>
            <w:tcW w:w="704" w:type="dxa"/>
            <w:noWrap/>
          </w:tcPr>
          <w:p w14:paraId="60D8669C" w14:textId="432D7D5D" w:rsidR="00643ECF" w:rsidRPr="00B07B0D" w:rsidRDefault="00643ECF" w:rsidP="00844B0F">
            <w:pPr>
              <w:jc w:val="right"/>
              <w:rPr>
                <w:sz w:val="20"/>
                <w:szCs w:val="20"/>
                <w:lang w:val="en-US"/>
              </w:rPr>
            </w:pPr>
            <w:r w:rsidRPr="00B07B0D">
              <w:rPr>
                <w:sz w:val="20"/>
                <w:szCs w:val="20"/>
                <w:lang w:val="en-US"/>
              </w:rPr>
              <w:t>52.07</w:t>
            </w:r>
          </w:p>
        </w:tc>
        <w:tc>
          <w:tcPr>
            <w:tcW w:w="765" w:type="dxa"/>
            <w:noWrap/>
          </w:tcPr>
          <w:p w14:paraId="68E5498F" w14:textId="432F2DFB" w:rsidR="00643ECF" w:rsidRPr="00B07B0D" w:rsidRDefault="00643ECF" w:rsidP="00844B0F">
            <w:pPr>
              <w:jc w:val="right"/>
              <w:rPr>
                <w:sz w:val="20"/>
                <w:szCs w:val="20"/>
                <w:lang w:val="en-US"/>
              </w:rPr>
            </w:pPr>
            <w:r w:rsidRPr="00B07B0D">
              <w:rPr>
                <w:sz w:val="20"/>
                <w:szCs w:val="20"/>
                <w:lang w:val="en-US"/>
              </w:rPr>
              <w:t>26.6</w:t>
            </w:r>
          </w:p>
        </w:tc>
        <w:tc>
          <w:tcPr>
            <w:tcW w:w="746" w:type="dxa"/>
            <w:noWrap/>
          </w:tcPr>
          <w:p w14:paraId="3F43E4EA" w14:textId="0403BDD2" w:rsidR="00643ECF" w:rsidRPr="00B07B0D" w:rsidRDefault="00643ECF" w:rsidP="00844B0F">
            <w:pPr>
              <w:jc w:val="right"/>
              <w:rPr>
                <w:sz w:val="20"/>
                <w:szCs w:val="20"/>
                <w:lang w:val="en-US"/>
              </w:rPr>
            </w:pPr>
            <w:r w:rsidRPr="00B07B0D">
              <w:rPr>
                <w:sz w:val="20"/>
                <w:szCs w:val="20"/>
                <w:lang w:val="en-US"/>
              </w:rPr>
              <w:t>51.97</w:t>
            </w:r>
          </w:p>
        </w:tc>
        <w:tc>
          <w:tcPr>
            <w:tcW w:w="777" w:type="dxa"/>
            <w:noWrap/>
          </w:tcPr>
          <w:p w14:paraId="2AB1C96A" w14:textId="1E95C748" w:rsidR="00643ECF" w:rsidRPr="00B07B0D" w:rsidRDefault="00643ECF" w:rsidP="00844B0F">
            <w:pPr>
              <w:jc w:val="right"/>
              <w:rPr>
                <w:sz w:val="20"/>
                <w:szCs w:val="20"/>
                <w:lang w:val="en-US"/>
              </w:rPr>
            </w:pPr>
            <w:r w:rsidRPr="00B07B0D">
              <w:rPr>
                <w:sz w:val="20"/>
                <w:szCs w:val="20"/>
                <w:lang w:val="en-US"/>
              </w:rPr>
              <w:t>26.82</w:t>
            </w:r>
          </w:p>
        </w:tc>
      </w:tr>
      <w:tr w:rsidR="004A6221" w:rsidRPr="00B07B0D" w14:paraId="01D0B089" w14:textId="77777777" w:rsidTr="005C23ED">
        <w:trPr>
          <w:trHeight w:val="297"/>
          <w:jc w:val="center"/>
        </w:trPr>
        <w:tc>
          <w:tcPr>
            <w:tcW w:w="1525" w:type="dxa"/>
            <w:noWrap/>
          </w:tcPr>
          <w:p w14:paraId="72F8ECD5" w14:textId="4C936142" w:rsidR="00643ECF" w:rsidRPr="00B07B0D" w:rsidRDefault="00643ECF" w:rsidP="00643ECF">
            <w:pPr>
              <w:jc w:val="left"/>
              <w:rPr>
                <w:sz w:val="20"/>
                <w:szCs w:val="20"/>
                <w:lang w:val="en-US"/>
              </w:rPr>
            </w:pPr>
            <w:r w:rsidRPr="00B07B0D">
              <w:rPr>
                <w:rFonts w:cstheme="minorBidi"/>
                <w:sz w:val="20"/>
                <w:szCs w:val="20"/>
                <w:lang w:val="en-US"/>
              </w:rPr>
              <w:t>INT_AUD</w:t>
            </w:r>
          </w:p>
        </w:tc>
        <w:tc>
          <w:tcPr>
            <w:tcW w:w="710" w:type="dxa"/>
            <w:noWrap/>
          </w:tcPr>
          <w:p w14:paraId="52A2AA6E" w14:textId="730ACC27" w:rsidR="00643ECF" w:rsidRPr="00B07B0D" w:rsidRDefault="00643ECF" w:rsidP="00844B0F">
            <w:pPr>
              <w:jc w:val="right"/>
              <w:rPr>
                <w:sz w:val="20"/>
                <w:szCs w:val="20"/>
                <w:lang w:val="en-US"/>
              </w:rPr>
            </w:pPr>
            <w:r w:rsidRPr="00B07B0D">
              <w:rPr>
                <w:sz w:val="20"/>
                <w:szCs w:val="20"/>
                <w:lang w:val="en-US"/>
              </w:rPr>
              <w:t>55.57</w:t>
            </w:r>
          </w:p>
        </w:tc>
        <w:tc>
          <w:tcPr>
            <w:tcW w:w="890" w:type="dxa"/>
            <w:noWrap/>
          </w:tcPr>
          <w:p w14:paraId="45711780" w14:textId="0046DA73" w:rsidR="00643ECF" w:rsidRPr="00B07B0D" w:rsidRDefault="00643ECF" w:rsidP="00844B0F">
            <w:pPr>
              <w:jc w:val="right"/>
              <w:rPr>
                <w:sz w:val="20"/>
                <w:szCs w:val="20"/>
                <w:lang w:val="en-US"/>
              </w:rPr>
            </w:pPr>
            <w:r w:rsidRPr="00B07B0D">
              <w:rPr>
                <w:sz w:val="20"/>
                <w:szCs w:val="20"/>
                <w:lang w:val="en-US"/>
              </w:rPr>
              <w:t>20.34</w:t>
            </w:r>
          </w:p>
        </w:tc>
        <w:tc>
          <w:tcPr>
            <w:tcW w:w="704" w:type="dxa"/>
            <w:noWrap/>
          </w:tcPr>
          <w:p w14:paraId="1E9F65AA" w14:textId="39371F02" w:rsidR="00643ECF" w:rsidRPr="00B07B0D" w:rsidRDefault="00643ECF" w:rsidP="00844B0F">
            <w:pPr>
              <w:jc w:val="right"/>
              <w:rPr>
                <w:sz w:val="20"/>
                <w:szCs w:val="20"/>
                <w:lang w:val="en-US"/>
              </w:rPr>
            </w:pPr>
            <w:r w:rsidRPr="00B07B0D">
              <w:rPr>
                <w:sz w:val="20"/>
                <w:szCs w:val="20"/>
                <w:lang w:val="en-US"/>
              </w:rPr>
              <w:t>56.31</w:t>
            </w:r>
          </w:p>
        </w:tc>
        <w:tc>
          <w:tcPr>
            <w:tcW w:w="765" w:type="dxa"/>
            <w:noWrap/>
          </w:tcPr>
          <w:p w14:paraId="640BEE44" w14:textId="12AD502B" w:rsidR="00643ECF" w:rsidRPr="00B07B0D" w:rsidRDefault="00643ECF" w:rsidP="00844B0F">
            <w:pPr>
              <w:jc w:val="right"/>
              <w:rPr>
                <w:sz w:val="20"/>
                <w:szCs w:val="20"/>
                <w:lang w:val="en-US"/>
              </w:rPr>
            </w:pPr>
            <w:r w:rsidRPr="00B07B0D">
              <w:rPr>
                <w:sz w:val="20"/>
                <w:szCs w:val="20"/>
                <w:lang w:val="en-US"/>
              </w:rPr>
              <w:t>22.51</w:t>
            </w:r>
          </w:p>
        </w:tc>
        <w:tc>
          <w:tcPr>
            <w:tcW w:w="704" w:type="dxa"/>
            <w:noWrap/>
          </w:tcPr>
          <w:p w14:paraId="38C099CB" w14:textId="1DE94B94" w:rsidR="00643ECF" w:rsidRPr="00B07B0D" w:rsidRDefault="00643ECF" w:rsidP="00844B0F">
            <w:pPr>
              <w:jc w:val="right"/>
              <w:rPr>
                <w:sz w:val="20"/>
                <w:szCs w:val="20"/>
                <w:lang w:val="en-US"/>
              </w:rPr>
            </w:pPr>
            <w:r w:rsidRPr="00B07B0D">
              <w:rPr>
                <w:sz w:val="20"/>
                <w:szCs w:val="20"/>
                <w:lang w:val="en-US"/>
              </w:rPr>
              <w:t>57.07</w:t>
            </w:r>
          </w:p>
        </w:tc>
        <w:tc>
          <w:tcPr>
            <w:tcW w:w="765" w:type="dxa"/>
            <w:noWrap/>
          </w:tcPr>
          <w:p w14:paraId="4FD8DA96" w14:textId="1A052AF5" w:rsidR="00643ECF" w:rsidRPr="00B07B0D" w:rsidRDefault="00643ECF" w:rsidP="00844B0F">
            <w:pPr>
              <w:jc w:val="right"/>
              <w:rPr>
                <w:sz w:val="20"/>
                <w:szCs w:val="20"/>
                <w:lang w:val="en-US"/>
              </w:rPr>
            </w:pPr>
            <w:r w:rsidRPr="00B07B0D">
              <w:rPr>
                <w:sz w:val="20"/>
                <w:szCs w:val="20"/>
                <w:lang w:val="en-US"/>
              </w:rPr>
              <w:t>22.51</w:t>
            </w:r>
          </w:p>
        </w:tc>
        <w:tc>
          <w:tcPr>
            <w:tcW w:w="746" w:type="dxa"/>
            <w:noWrap/>
          </w:tcPr>
          <w:p w14:paraId="4D467E2A" w14:textId="534DC9B3" w:rsidR="00643ECF" w:rsidRPr="00B07B0D" w:rsidRDefault="00643ECF" w:rsidP="00844B0F">
            <w:pPr>
              <w:jc w:val="right"/>
              <w:rPr>
                <w:sz w:val="20"/>
                <w:szCs w:val="20"/>
                <w:lang w:val="en-US"/>
              </w:rPr>
            </w:pPr>
            <w:r w:rsidRPr="00B07B0D">
              <w:rPr>
                <w:sz w:val="20"/>
                <w:szCs w:val="20"/>
                <w:lang w:val="en-US"/>
              </w:rPr>
              <w:t>56.92</w:t>
            </w:r>
          </w:p>
        </w:tc>
        <w:tc>
          <w:tcPr>
            <w:tcW w:w="777" w:type="dxa"/>
            <w:noWrap/>
          </w:tcPr>
          <w:p w14:paraId="2462EAA6" w14:textId="6A3FC9EB" w:rsidR="00643ECF" w:rsidRPr="00B07B0D" w:rsidRDefault="00643ECF" w:rsidP="00844B0F">
            <w:pPr>
              <w:jc w:val="right"/>
              <w:rPr>
                <w:sz w:val="20"/>
                <w:szCs w:val="20"/>
                <w:lang w:val="en-US"/>
              </w:rPr>
            </w:pPr>
            <w:r w:rsidRPr="00B07B0D">
              <w:rPr>
                <w:sz w:val="20"/>
                <w:szCs w:val="20"/>
                <w:lang w:val="en-US"/>
              </w:rPr>
              <w:t>23.12</w:t>
            </w:r>
          </w:p>
        </w:tc>
      </w:tr>
      <w:tr w:rsidR="004A6221" w:rsidRPr="00B07B0D" w14:paraId="2E851074" w14:textId="77777777" w:rsidTr="005C23ED">
        <w:trPr>
          <w:trHeight w:val="297"/>
          <w:jc w:val="center"/>
        </w:trPr>
        <w:tc>
          <w:tcPr>
            <w:tcW w:w="1525" w:type="dxa"/>
            <w:noWrap/>
          </w:tcPr>
          <w:p w14:paraId="3E111D29" w14:textId="42E98064" w:rsidR="00643ECF" w:rsidRPr="00B07B0D" w:rsidRDefault="00643ECF" w:rsidP="00643ECF">
            <w:pPr>
              <w:jc w:val="left"/>
              <w:rPr>
                <w:sz w:val="20"/>
                <w:szCs w:val="20"/>
                <w:lang w:val="en-US"/>
              </w:rPr>
            </w:pPr>
            <w:r w:rsidRPr="00B07B0D">
              <w:rPr>
                <w:rFonts w:cstheme="minorBidi"/>
                <w:sz w:val="20"/>
                <w:szCs w:val="20"/>
                <w:lang w:val="en-US"/>
              </w:rPr>
              <w:t>SIZE</w:t>
            </w:r>
          </w:p>
        </w:tc>
        <w:tc>
          <w:tcPr>
            <w:tcW w:w="710" w:type="dxa"/>
            <w:noWrap/>
          </w:tcPr>
          <w:p w14:paraId="319879E0" w14:textId="2C3219CF" w:rsidR="00643ECF" w:rsidRPr="00B07B0D" w:rsidRDefault="00643ECF" w:rsidP="00844B0F">
            <w:pPr>
              <w:jc w:val="right"/>
              <w:rPr>
                <w:sz w:val="20"/>
                <w:szCs w:val="20"/>
                <w:lang w:val="en-US"/>
              </w:rPr>
            </w:pPr>
            <w:r w:rsidRPr="00B07B0D">
              <w:rPr>
                <w:sz w:val="20"/>
                <w:szCs w:val="20"/>
                <w:lang w:val="en-US"/>
              </w:rPr>
              <w:t>42.27</w:t>
            </w:r>
          </w:p>
        </w:tc>
        <w:tc>
          <w:tcPr>
            <w:tcW w:w="890" w:type="dxa"/>
            <w:noWrap/>
          </w:tcPr>
          <w:p w14:paraId="418857E6" w14:textId="1914E116" w:rsidR="00643ECF" w:rsidRPr="00B07B0D" w:rsidRDefault="00643ECF" w:rsidP="00844B0F">
            <w:pPr>
              <w:jc w:val="right"/>
              <w:rPr>
                <w:sz w:val="20"/>
                <w:szCs w:val="20"/>
                <w:lang w:val="en-US"/>
              </w:rPr>
            </w:pPr>
            <w:r w:rsidRPr="00B07B0D">
              <w:rPr>
                <w:sz w:val="20"/>
                <w:szCs w:val="20"/>
                <w:lang w:val="en-US"/>
              </w:rPr>
              <w:t>193.11</w:t>
            </w:r>
          </w:p>
        </w:tc>
        <w:tc>
          <w:tcPr>
            <w:tcW w:w="704" w:type="dxa"/>
            <w:noWrap/>
          </w:tcPr>
          <w:p w14:paraId="26A0DE02" w14:textId="510BB606" w:rsidR="00643ECF" w:rsidRPr="00B07B0D" w:rsidRDefault="00643ECF" w:rsidP="00844B0F">
            <w:pPr>
              <w:jc w:val="right"/>
              <w:rPr>
                <w:sz w:val="20"/>
                <w:szCs w:val="20"/>
                <w:lang w:val="en-US"/>
              </w:rPr>
            </w:pPr>
            <w:r w:rsidRPr="00B07B0D">
              <w:rPr>
                <w:sz w:val="20"/>
                <w:szCs w:val="20"/>
                <w:lang w:val="en-US"/>
              </w:rPr>
              <w:t>46.4</w:t>
            </w:r>
          </w:p>
        </w:tc>
        <w:tc>
          <w:tcPr>
            <w:tcW w:w="765" w:type="dxa"/>
            <w:noWrap/>
          </w:tcPr>
          <w:p w14:paraId="0471C933" w14:textId="4952E463" w:rsidR="00643ECF" w:rsidRPr="00B07B0D" w:rsidRDefault="00643ECF" w:rsidP="00844B0F">
            <w:pPr>
              <w:jc w:val="right"/>
              <w:rPr>
                <w:sz w:val="20"/>
                <w:szCs w:val="20"/>
                <w:lang w:val="en-US"/>
              </w:rPr>
            </w:pPr>
            <w:r w:rsidRPr="00B07B0D">
              <w:rPr>
                <w:sz w:val="20"/>
                <w:szCs w:val="20"/>
                <w:lang w:val="en-US"/>
              </w:rPr>
              <w:t>194.68</w:t>
            </w:r>
          </w:p>
        </w:tc>
        <w:tc>
          <w:tcPr>
            <w:tcW w:w="704" w:type="dxa"/>
            <w:noWrap/>
          </w:tcPr>
          <w:p w14:paraId="1C404E2B" w14:textId="0C108C80" w:rsidR="00643ECF" w:rsidRPr="00B07B0D" w:rsidRDefault="00643ECF" w:rsidP="00844B0F">
            <w:pPr>
              <w:jc w:val="right"/>
              <w:rPr>
                <w:sz w:val="20"/>
                <w:szCs w:val="20"/>
                <w:lang w:val="en-US"/>
              </w:rPr>
            </w:pPr>
            <w:r w:rsidRPr="00B07B0D">
              <w:rPr>
                <w:sz w:val="20"/>
                <w:szCs w:val="20"/>
                <w:lang w:val="en-US"/>
              </w:rPr>
              <w:t>45.31</w:t>
            </w:r>
          </w:p>
        </w:tc>
        <w:tc>
          <w:tcPr>
            <w:tcW w:w="765" w:type="dxa"/>
            <w:noWrap/>
          </w:tcPr>
          <w:p w14:paraId="6A039AA4" w14:textId="71EAB881" w:rsidR="00643ECF" w:rsidRPr="00B07B0D" w:rsidRDefault="00643ECF" w:rsidP="00844B0F">
            <w:pPr>
              <w:jc w:val="right"/>
              <w:rPr>
                <w:sz w:val="20"/>
                <w:szCs w:val="20"/>
                <w:lang w:val="en-US"/>
              </w:rPr>
            </w:pPr>
            <w:r w:rsidRPr="00B07B0D">
              <w:rPr>
                <w:sz w:val="20"/>
                <w:szCs w:val="20"/>
                <w:lang w:val="en-US"/>
              </w:rPr>
              <w:t>188.26</w:t>
            </w:r>
          </w:p>
        </w:tc>
        <w:tc>
          <w:tcPr>
            <w:tcW w:w="746" w:type="dxa"/>
            <w:noWrap/>
          </w:tcPr>
          <w:p w14:paraId="2750694F" w14:textId="54B51AEF" w:rsidR="00643ECF" w:rsidRPr="00B07B0D" w:rsidRDefault="00643ECF" w:rsidP="00844B0F">
            <w:pPr>
              <w:jc w:val="right"/>
              <w:rPr>
                <w:sz w:val="20"/>
                <w:szCs w:val="20"/>
                <w:lang w:val="en-US"/>
              </w:rPr>
            </w:pPr>
            <w:r w:rsidRPr="00B07B0D">
              <w:rPr>
                <w:sz w:val="20"/>
                <w:szCs w:val="20"/>
                <w:lang w:val="en-US"/>
              </w:rPr>
              <w:t>46.57</w:t>
            </w:r>
          </w:p>
        </w:tc>
        <w:tc>
          <w:tcPr>
            <w:tcW w:w="777" w:type="dxa"/>
            <w:noWrap/>
          </w:tcPr>
          <w:p w14:paraId="52E4CC79" w14:textId="42D71638" w:rsidR="00643ECF" w:rsidRPr="00B07B0D" w:rsidRDefault="00643ECF" w:rsidP="00844B0F">
            <w:pPr>
              <w:jc w:val="right"/>
              <w:rPr>
                <w:sz w:val="20"/>
                <w:szCs w:val="20"/>
                <w:lang w:val="en-US"/>
              </w:rPr>
            </w:pPr>
            <w:r w:rsidRPr="00B07B0D">
              <w:rPr>
                <w:sz w:val="20"/>
                <w:szCs w:val="20"/>
                <w:lang w:val="en-US"/>
              </w:rPr>
              <w:t>194.7</w:t>
            </w:r>
          </w:p>
        </w:tc>
      </w:tr>
    </w:tbl>
    <w:p w14:paraId="20CDC20F" w14:textId="0B166F64" w:rsidR="00761694" w:rsidRPr="00B77B0D" w:rsidRDefault="00761694" w:rsidP="004A6221">
      <w:pPr>
        <w:shd w:val="clear" w:color="auto" w:fill="FFFFFF"/>
        <w:jc w:val="center"/>
        <w:rPr>
          <w:iCs/>
          <w:sz w:val="20"/>
          <w:szCs w:val="20"/>
          <w:lang w:val="en-US"/>
        </w:rPr>
      </w:pPr>
      <w:r w:rsidRPr="00B07B0D">
        <w:rPr>
          <w:i/>
          <w:iCs/>
          <w:sz w:val="20"/>
          <w:szCs w:val="20"/>
          <w:lang w:val="en-US"/>
        </w:rPr>
        <w:t>Source</w:t>
      </w:r>
      <w:r w:rsidRPr="00B77B0D">
        <w:rPr>
          <w:iCs/>
          <w:sz w:val="20"/>
          <w:szCs w:val="20"/>
          <w:lang w:val="en-US"/>
        </w:rPr>
        <w:t>: Authors’ own research</w:t>
      </w:r>
    </w:p>
    <w:p w14:paraId="6B2E08E8" w14:textId="77777777" w:rsidR="006754B0" w:rsidRPr="0008438F" w:rsidRDefault="006754B0" w:rsidP="006754B0">
      <w:pPr>
        <w:rPr>
          <w:sz w:val="14"/>
          <w:lang w:val="en-US"/>
        </w:rPr>
      </w:pPr>
    </w:p>
    <w:p w14:paraId="008DF8C8" w14:textId="77777777" w:rsidR="0060614A" w:rsidRPr="00B07B0D" w:rsidRDefault="0060614A" w:rsidP="0060614A">
      <w:pPr>
        <w:rPr>
          <w:lang w:val="en-US"/>
        </w:rPr>
      </w:pPr>
      <w:r w:rsidRPr="00B07B0D">
        <w:rPr>
          <w:lang w:val="en-US"/>
        </w:rPr>
        <w:t xml:space="preserve">In terms of the structure of the board of directors, although the size of the board (BD_SIZE) has remained stable, there has been a gradual increase in the degree of independence (BD_IND) and a rise in the proportion of non-executive members (NON_EXEC), suggesting a gradual alignment with good corporate governance practices. These findings are consistent with the results of </w:t>
      </w:r>
      <w:proofErr w:type="spellStart"/>
      <w:r w:rsidRPr="00B07B0D">
        <w:rPr>
          <w:lang w:val="en-US"/>
        </w:rPr>
        <w:t>Melón-Izco</w:t>
      </w:r>
      <w:proofErr w:type="spellEnd"/>
      <w:r w:rsidRPr="00B07B0D">
        <w:rPr>
          <w:lang w:val="en-US"/>
        </w:rPr>
        <w:t xml:space="preserve"> </w:t>
      </w:r>
      <w:r w:rsidRPr="00B07B0D">
        <w:rPr>
          <w:i/>
          <w:iCs/>
          <w:lang w:val="en-US"/>
        </w:rPr>
        <w:t>et al.</w:t>
      </w:r>
      <w:r w:rsidRPr="00B07B0D">
        <w:rPr>
          <w:lang w:val="en-US"/>
        </w:rPr>
        <w:t xml:space="preserve"> (2020), who highlighted a trend toward increased adherence to good governance practices. </w:t>
      </w:r>
    </w:p>
    <w:p w14:paraId="618DC062" w14:textId="77777777" w:rsidR="0060614A" w:rsidRPr="00B07B0D" w:rsidRDefault="0060614A" w:rsidP="0060614A">
      <w:pPr>
        <w:rPr>
          <w:lang w:val="en-US"/>
        </w:rPr>
      </w:pPr>
      <w:r w:rsidRPr="00B07B0D">
        <w:rPr>
          <w:lang w:val="en-US"/>
        </w:rPr>
        <w:t>Furthermore, this trend is consistent with Agency Theory, as increased board independence (BD_IND) strengthens the monitoring function and helps reduce agency conflicts between management and shareholders.</w:t>
      </w:r>
    </w:p>
    <w:p w14:paraId="161A647E" w14:textId="77777777" w:rsidR="0060614A" w:rsidRPr="0008438F" w:rsidRDefault="0060614A" w:rsidP="0060614A">
      <w:pPr>
        <w:rPr>
          <w:sz w:val="16"/>
          <w:lang w:val="en-US"/>
        </w:rPr>
      </w:pPr>
    </w:p>
    <w:p w14:paraId="29DDCDFD" w14:textId="0D8E0281" w:rsidR="006754B0" w:rsidRPr="00B07B0D" w:rsidRDefault="0060614A" w:rsidP="0060614A">
      <w:pPr>
        <w:rPr>
          <w:lang w:val="en-US"/>
        </w:rPr>
      </w:pPr>
      <w:r w:rsidRPr="00B07B0D">
        <w:rPr>
          <w:lang w:val="en-US"/>
        </w:rPr>
        <w:t xml:space="preserve">However, gender diversity in executive roles (GEN_BD, GEN_EXEC) has shown a downward trend, signaling potential barriers to the promotion of women into management positions, which qualifies the perspective of </w:t>
      </w:r>
      <w:proofErr w:type="spellStart"/>
      <w:r w:rsidRPr="00B07B0D">
        <w:rPr>
          <w:lang w:val="en-US"/>
        </w:rPr>
        <w:t>Ionașcu</w:t>
      </w:r>
      <w:proofErr w:type="spellEnd"/>
      <w:r w:rsidRPr="00B07B0D">
        <w:rPr>
          <w:lang w:val="en-US"/>
        </w:rPr>
        <w:t xml:space="preserve"> </w:t>
      </w:r>
      <w:r w:rsidRPr="003A5409">
        <w:rPr>
          <w:i/>
          <w:iCs/>
          <w:lang w:val="en-US"/>
        </w:rPr>
        <w:t>et al.</w:t>
      </w:r>
      <w:r w:rsidRPr="00B07B0D">
        <w:rPr>
          <w:lang w:val="en-US"/>
        </w:rPr>
        <w:t xml:space="preserve"> (2018) regarding the difficulty of correlating the presence of women in leadership roles with immediate financial results.</w:t>
      </w:r>
    </w:p>
    <w:p w14:paraId="30E65547" w14:textId="77777777" w:rsidR="0060614A" w:rsidRPr="0008438F" w:rsidRDefault="0060614A" w:rsidP="0060614A">
      <w:pPr>
        <w:rPr>
          <w:sz w:val="16"/>
          <w:lang w:val="en-US"/>
        </w:rPr>
      </w:pPr>
    </w:p>
    <w:p w14:paraId="4BCADA6A" w14:textId="77777777" w:rsidR="0060614A" w:rsidRPr="00B07B0D" w:rsidRDefault="0060614A" w:rsidP="0060614A">
      <w:pPr>
        <w:rPr>
          <w:lang w:val="en-US"/>
        </w:rPr>
      </w:pPr>
      <w:r w:rsidRPr="00B07B0D">
        <w:rPr>
          <w:lang w:val="en-US"/>
        </w:rPr>
        <w:t xml:space="preserve">With regard to the structure of the audit committee, the indicators analyzed point to mixed trends: although the independence of the audit committee (AUD_IND) is maintained, technical expertise (AUD_EXP) is gradually declining, which may reflect difficulties in adapting specialized skills to the complexity and volatility of the financial environment. On the other hand, the increase in the internal audit department’s reporting score (INT_AUD) highlights management’s focus on strengthening internal control and oversight mechanisms, validating the Legitimacy Theory through the emphasis placed on transparency and compliance with stakeholder expectations. This trend supports Tušek’s (2015) hypothesis, according to which the effectiveness of internal audit is closely linked to the quality of communication and interaction with the audit committee. Better quality of communication and interaction between a company’s Internal Audit Department and Audit Committee leads to increased efficiency in internal audit operations. </w:t>
      </w:r>
    </w:p>
    <w:p w14:paraId="4029E0A3" w14:textId="77777777" w:rsidR="0060614A" w:rsidRPr="0008438F" w:rsidRDefault="0060614A" w:rsidP="0060614A">
      <w:pPr>
        <w:rPr>
          <w:sz w:val="14"/>
          <w:lang w:val="en-US"/>
        </w:rPr>
      </w:pPr>
    </w:p>
    <w:p w14:paraId="4BC3FF4D" w14:textId="219B95AC" w:rsidR="0060614A" w:rsidRPr="00B07B0D" w:rsidRDefault="0060614A" w:rsidP="0060614A">
      <w:pPr>
        <w:rPr>
          <w:lang w:val="en-US"/>
        </w:rPr>
      </w:pPr>
      <w:r w:rsidRPr="00B07B0D">
        <w:rPr>
          <w:lang w:val="en-US"/>
        </w:rPr>
        <w:t>Financial performance, measured by EBITDA, was characterized by high standard deviations, reflecting the heterogeneity of the companies analyzed. This discrepancy between governance stability and financial volatility supports the need for a quantitative analysis to assess the impact of corporate governance on performance.</w:t>
      </w:r>
    </w:p>
    <w:p w14:paraId="1D02163C" w14:textId="77777777" w:rsidR="0060614A" w:rsidRPr="0008438F" w:rsidRDefault="0060614A" w:rsidP="0060614A">
      <w:pPr>
        <w:rPr>
          <w:sz w:val="16"/>
          <w:lang w:val="en-US"/>
        </w:rPr>
      </w:pPr>
    </w:p>
    <w:p w14:paraId="22DB300E" w14:textId="17BA1E05" w:rsidR="00D340C7" w:rsidRPr="00B07B0D" w:rsidRDefault="00D340C7" w:rsidP="001F62AF">
      <w:pPr>
        <w:rPr>
          <w:lang w:val="en-US"/>
        </w:rPr>
      </w:pPr>
      <w:r w:rsidRPr="00B07B0D">
        <w:rPr>
          <w:lang w:val="en-US"/>
        </w:rPr>
        <w:t xml:space="preserve">The results of the four regression models are presented centrally in Table no. </w:t>
      </w:r>
      <w:r w:rsidR="00181363" w:rsidRPr="00B07B0D">
        <w:rPr>
          <w:lang w:val="en-US"/>
        </w:rPr>
        <w:t>5</w:t>
      </w:r>
      <w:r w:rsidRPr="00B07B0D">
        <w:rPr>
          <w:lang w:val="en-US"/>
        </w:rPr>
        <w:t>.  Regression model results.</w:t>
      </w:r>
    </w:p>
    <w:p w14:paraId="6A926F35" w14:textId="77777777" w:rsidR="00C80927" w:rsidRPr="00B07B0D" w:rsidRDefault="00C80927" w:rsidP="001F62AF">
      <w:pPr>
        <w:rPr>
          <w:lang w:val="en-US"/>
        </w:rPr>
      </w:pPr>
    </w:p>
    <w:p w14:paraId="72D81E73" w14:textId="58FB47ED" w:rsidR="00D340C7" w:rsidRPr="00B77B0D" w:rsidRDefault="00D340C7" w:rsidP="00D340C7">
      <w:pPr>
        <w:ind w:firstLine="357"/>
        <w:jc w:val="center"/>
        <w:rPr>
          <w:rFonts w:ascii="Times New Roman" w:hAnsi="Times New Roman" w:cs="Times New Roman"/>
          <w:b/>
          <w:bCs/>
          <w:sz w:val="20"/>
          <w:szCs w:val="20"/>
          <w:lang w:val="en-US"/>
        </w:rPr>
      </w:pPr>
      <w:r w:rsidRPr="00B77B0D">
        <w:rPr>
          <w:rFonts w:ascii="Times New Roman" w:hAnsi="Times New Roman" w:cs="Times New Roman"/>
          <w:b/>
          <w:bCs/>
          <w:sz w:val="20"/>
          <w:szCs w:val="20"/>
          <w:lang w:val="en-US"/>
        </w:rPr>
        <w:t xml:space="preserve">Table </w:t>
      </w:r>
      <w:r w:rsidR="00181363" w:rsidRPr="00B77B0D">
        <w:rPr>
          <w:rFonts w:ascii="Times New Roman" w:hAnsi="Times New Roman" w:cs="Times New Roman"/>
          <w:b/>
          <w:bCs/>
          <w:sz w:val="20"/>
          <w:szCs w:val="20"/>
          <w:lang w:val="en-US"/>
        </w:rPr>
        <w:t>5</w:t>
      </w:r>
      <w:r w:rsidRPr="00B77B0D">
        <w:rPr>
          <w:rFonts w:ascii="Times New Roman" w:hAnsi="Times New Roman" w:cs="Times New Roman"/>
          <w:b/>
          <w:bCs/>
          <w:sz w:val="20"/>
          <w:szCs w:val="20"/>
          <w:lang w:val="en-US"/>
        </w:rPr>
        <w:t xml:space="preserve">. </w:t>
      </w:r>
      <w:r w:rsidR="00E96923" w:rsidRPr="00B77B0D">
        <w:rPr>
          <w:rFonts w:ascii="Times New Roman" w:hAnsi="Times New Roman" w:cs="Times New Roman"/>
          <w:b/>
          <w:bCs/>
          <w:sz w:val="20"/>
          <w:szCs w:val="20"/>
          <w:lang w:val="en-US"/>
        </w:rPr>
        <w:t>Regression model results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065"/>
        <w:gridCol w:w="1324"/>
        <w:gridCol w:w="2226"/>
        <w:gridCol w:w="1657"/>
      </w:tblGrid>
      <w:tr w:rsidR="00107B20" w:rsidRPr="00B07B0D" w14:paraId="2998E4B0" w14:textId="77777777" w:rsidTr="005C23ED">
        <w:trPr>
          <w:tblHeader/>
          <w:jc w:val="center"/>
        </w:trPr>
        <w:tc>
          <w:tcPr>
            <w:tcW w:w="1128" w:type="dxa"/>
            <w:tcBorders>
              <w:top w:val="single" w:sz="4" w:space="0" w:color="auto"/>
              <w:bottom w:val="single" w:sz="4" w:space="0" w:color="auto"/>
            </w:tcBorders>
            <w:vAlign w:val="center"/>
          </w:tcPr>
          <w:p w14:paraId="68151983" w14:textId="77777777" w:rsidR="00D340C7" w:rsidRPr="00B07B0D" w:rsidRDefault="00D340C7" w:rsidP="00B77B0D">
            <w:pPr>
              <w:jc w:val="center"/>
              <w:rPr>
                <w:b/>
                <w:bCs/>
                <w:sz w:val="20"/>
                <w:szCs w:val="20"/>
                <w:lang w:val="en-US"/>
              </w:rPr>
            </w:pPr>
            <w:r w:rsidRPr="00B07B0D">
              <w:rPr>
                <w:b/>
                <w:bCs/>
                <w:sz w:val="20"/>
                <w:szCs w:val="20"/>
                <w:lang w:val="en-US"/>
              </w:rPr>
              <w:t>Year</w:t>
            </w:r>
          </w:p>
        </w:tc>
        <w:tc>
          <w:tcPr>
            <w:tcW w:w="1092" w:type="dxa"/>
            <w:tcBorders>
              <w:top w:val="single" w:sz="4" w:space="0" w:color="auto"/>
              <w:bottom w:val="single" w:sz="4" w:space="0" w:color="auto"/>
            </w:tcBorders>
            <w:vAlign w:val="center"/>
          </w:tcPr>
          <w:p w14:paraId="0C809A9F" w14:textId="77777777" w:rsidR="00D340C7" w:rsidRPr="00B07B0D" w:rsidRDefault="00D340C7" w:rsidP="00B77B0D">
            <w:pPr>
              <w:jc w:val="center"/>
              <w:rPr>
                <w:b/>
                <w:bCs/>
                <w:sz w:val="20"/>
                <w:szCs w:val="20"/>
                <w:lang w:val="en-US"/>
              </w:rPr>
            </w:pPr>
            <w:r w:rsidRPr="00B07B0D">
              <w:rPr>
                <w:b/>
                <w:bCs/>
                <w:sz w:val="20"/>
                <w:szCs w:val="20"/>
                <w:lang w:val="en-US"/>
              </w:rPr>
              <w:t>R</w:t>
            </w:r>
          </w:p>
        </w:tc>
        <w:tc>
          <w:tcPr>
            <w:tcW w:w="1346" w:type="dxa"/>
            <w:tcBorders>
              <w:top w:val="single" w:sz="4" w:space="0" w:color="auto"/>
              <w:bottom w:val="single" w:sz="4" w:space="0" w:color="auto"/>
            </w:tcBorders>
            <w:vAlign w:val="center"/>
          </w:tcPr>
          <w:p w14:paraId="3CB88C0C" w14:textId="5C7FDCAC" w:rsidR="00D340C7" w:rsidRPr="00B07B0D" w:rsidRDefault="00D340C7" w:rsidP="00B77B0D">
            <w:pPr>
              <w:jc w:val="center"/>
              <w:rPr>
                <w:b/>
                <w:bCs/>
                <w:sz w:val="20"/>
                <w:szCs w:val="20"/>
                <w:lang w:val="en-US"/>
              </w:rPr>
            </w:pPr>
            <w:r w:rsidRPr="00B07B0D">
              <w:rPr>
                <w:b/>
                <w:bCs/>
                <w:sz w:val="20"/>
                <w:szCs w:val="20"/>
                <w:lang w:val="en-US"/>
              </w:rPr>
              <w:t>Adjusted R Square</w:t>
            </w:r>
          </w:p>
        </w:tc>
        <w:tc>
          <w:tcPr>
            <w:tcW w:w="2310" w:type="dxa"/>
            <w:tcBorders>
              <w:top w:val="single" w:sz="4" w:space="0" w:color="auto"/>
              <w:bottom w:val="single" w:sz="4" w:space="0" w:color="auto"/>
            </w:tcBorders>
            <w:vAlign w:val="center"/>
          </w:tcPr>
          <w:p w14:paraId="0EE16A60" w14:textId="30418894" w:rsidR="00D340C7" w:rsidRPr="00B07B0D" w:rsidRDefault="00D340C7" w:rsidP="00B77B0D">
            <w:pPr>
              <w:jc w:val="center"/>
              <w:rPr>
                <w:b/>
                <w:bCs/>
                <w:sz w:val="20"/>
                <w:szCs w:val="20"/>
                <w:lang w:val="en-US"/>
              </w:rPr>
            </w:pPr>
            <w:r w:rsidRPr="00B07B0D">
              <w:rPr>
                <w:b/>
                <w:bCs/>
                <w:sz w:val="20"/>
                <w:szCs w:val="20"/>
                <w:lang w:val="en-US"/>
              </w:rPr>
              <w:t>Std. Error of the Estimate</w:t>
            </w:r>
          </w:p>
        </w:tc>
        <w:tc>
          <w:tcPr>
            <w:tcW w:w="1710" w:type="dxa"/>
            <w:tcBorders>
              <w:top w:val="single" w:sz="4" w:space="0" w:color="auto"/>
              <w:bottom w:val="single" w:sz="4" w:space="0" w:color="auto"/>
            </w:tcBorders>
            <w:vAlign w:val="center"/>
          </w:tcPr>
          <w:p w14:paraId="78BA9952" w14:textId="5D21644A" w:rsidR="00D340C7" w:rsidRPr="00B07B0D" w:rsidRDefault="00D340C7" w:rsidP="00B77B0D">
            <w:pPr>
              <w:jc w:val="center"/>
              <w:rPr>
                <w:b/>
                <w:bCs/>
                <w:sz w:val="20"/>
                <w:szCs w:val="20"/>
                <w:lang w:val="en-US"/>
              </w:rPr>
            </w:pPr>
            <w:r w:rsidRPr="00B07B0D">
              <w:rPr>
                <w:b/>
                <w:bCs/>
                <w:sz w:val="20"/>
                <w:szCs w:val="20"/>
                <w:lang w:val="en-US"/>
              </w:rPr>
              <w:t>Durbin – Waston</w:t>
            </w:r>
          </w:p>
        </w:tc>
      </w:tr>
      <w:tr w:rsidR="00107B20" w:rsidRPr="00B07B0D" w14:paraId="73BAE795" w14:textId="77777777" w:rsidTr="005C23ED">
        <w:trPr>
          <w:jc w:val="center"/>
        </w:trPr>
        <w:tc>
          <w:tcPr>
            <w:tcW w:w="1128" w:type="dxa"/>
            <w:tcBorders>
              <w:top w:val="single" w:sz="4" w:space="0" w:color="auto"/>
            </w:tcBorders>
          </w:tcPr>
          <w:p w14:paraId="6989FE30" w14:textId="77777777" w:rsidR="00D340C7" w:rsidRPr="00B07B0D" w:rsidRDefault="00D340C7" w:rsidP="00844B0F">
            <w:pPr>
              <w:jc w:val="right"/>
              <w:rPr>
                <w:sz w:val="20"/>
                <w:szCs w:val="20"/>
                <w:lang w:val="en-US"/>
              </w:rPr>
            </w:pPr>
            <w:r w:rsidRPr="00B07B0D">
              <w:rPr>
                <w:sz w:val="20"/>
                <w:szCs w:val="20"/>
                <w:lang w:val="en-US"/>
              </w:rPr>
              <w:t>2021</w:t>
            </w:r>
          </w:p>
        </w:tc>
        <w:tc>
          <w:tcPr>
            <w:tcW w:w="1092" w:type="dxa"/>
            <w:tcBorders>
              <w:top w:val="single" w:sz="4" w:space="0" w:color="auto"/>
            </w:tcBorders>
          </w:tcPr>
          <w:p w14:paraId="6DE977DD" w14:textId="1A646A46" w:rsidR="00D340C7" w:rsidRPr="00B07B0D" w:rsidRDefault="00B45C2C" w:rsidP="00844B0F">
            <w:pPr>
              <w:jc w:val="right"/>
              <w:rPr>
                <w:sz w:val="20"/>
                <w:szCs w:val="20"/>
                <w:lang w:val="en-US"/>
              </w:rPr>
            </w:pPr>
            <w:r w:rsidRPr="00B07B0D">
              <w:rPr>
                <w:sz w:val="20"/>
                <w:szCs w:val="20"/>
                <w:lang w:val="en-US"/>
              </w:rPr>
              <w:t>0</w:t>
            </w:r>
            <w:r w:rsidR="00D340C7" w:rsidRPr="00B07B0D">
              <w:rPr>
                <w:sz w:val="20"/>
                <w:szCs w:val="20"/>
                <w:lang w:val="en-US"/>
              </w:rPr>
              <w:t>.768</w:t>
            </w:r>
          </w:p>
        </w:tc>
        <w:tc>
          <w:tcPr>
            <w:tcW w:w="1346" w:type="dxa"/>
            <w:tcBorders>
              <w:top w:val="single" w:sz="4" w:space="0" w:color="auto"/>
            </w:tcBorders>
          </w:tcPr>
          <w:p w14:paraId="30A83FDD" w14:textId="42757794" w:rsidR="00D340C7" w:rsidRPr="00B07B0D" w:rsidRDefault="00CB7D71" w:rsidP="00844B0F">
            <w:pPr>
              <w:jc w:val="right"/>
              <w:rPr>
                <w:sz w:val="20"/>
                <w:szCs w:val="20"/>
                <w:lang w:val="en-US"/>
              </w:rPr>
            </w:pPr>
            <w:r w:rsidRPr="00B07B0D">
              <w:rPr>
                <w:sz w:val="20"/>
                <w:szCs w:val="20"/>
                <w:lang w:val="en-US"/>
              </w:rPr>
              <w:t>0</w:t>
            </w:r>
            <w:r w:rsidR="00D340C7" w:rsidRPr="00B07B0D">
              <w:rPr>
                <w:sz w:val="20"/>
                <w:szCs w:val="20"/>
                <w:lang w:val="en-US"/>
              </w:rPr>
              <w:t>.586</w:t>
            </w:r>
          </w:p>
        </w:tc>
        <w:tc>
          <w:tcPr>
            <w:tcW w:w="2310" w:type="dxa"/>
            <w:tcBorders>
              <w:top w:val="single" w:sz="4" w:space="0" w:color="auto"/>
            </w:tcBorders>
          </w:tcPr>
          <w:p w14:paraId="41A6CE63" w14:textId="609B8380" w:rsidR="00D340C7" w:rsidRPr="00B07B0D" w:rsidRDefault="00D340C7" w:rsidP="00844B0F">
            <w:pPr>
              <w:jc w:val="right"/>
              <w:rPr>
                <w:sz w:val="20"/>
                <w:szCs w:val="20"/>
                <w:lang w:val="en-US"/>
              </w:rPr>
            </w:pPr>
            <w:r w:rsidRPr="00B07B0D">
              <w:rPr>
                <w:sz w:val="20"/>
                <w:szCs w:val="20"/>
                <w:lang w:val="en-US"/>
              </w:rPr>
              <w:t>3.743</w:t>
            </w:r>
          </w:p>
        </w:tc>
        <w:tc>
          <w:tcPr>
            <w:tcW w:w="1710" w:type="dxa"/>
            <w:tcBorders>
              <w:top w:val="single" w:sz="4" w:space="0" w:color="auto"/>
            </w:tcBorders>
          </w:tcPr>
          <w:p w14:paraId="37488248" w14:textId="77777777" w:rsidR="00D340C7" w:rsidRPr="00B07B0D" w:rsidRDefault="00D340C7" w:rsidP="00844B0F">
            <w:pPr>
              <w:jc w:val="right"/>
              <w:rPr>
                <w:sz w:val="20"/>
                <w:szCs w:val="20"/>
                <w:lang w:val="en-US"/>
              </w:rPr>
            </w:pPr>
            <w:r w:rsidRPr="00B07B0D">
              <w:rPr>
                <w:sz w:val="20"/>
                <w:szCs w:val="20"/>
                <w:lang w:val="en-US"/>
              </w:rPr>
              <w:t>1.994</w:t>
            </w:r>
          </w:p>
        </w:tc>
      </w:tr>
      <w:tr w:rsidR="00107B20" w:rsidRPr="00B07B0D" w14:paraId="6E8EA8A7" w14:textId="77777777" w:rsidTr="005C23ED">
        <w:trPr>
          <w:jc w:val="center"/>
        </w:trPr>
        <w:tc>
          <w:tcPr>
            <w:tcW w:w="1128" w:type="dxa"/>
          </w:tcPr>
          <w:p w14:paraId="645340C1" w14:textId="77777777" w:rsidR="00D340C7" w:rsidRPr="00B07B0D" w:rsidRDefault="00D340C7" w:rsidP="00844B0F">
            <w:pPr>
              <w:jc w:val="right"/>
              <w:rPr>
                <w:sz w:val="20"/>
                <w:szCs w:val="20"/>
                <w:lang w:val="en-US"/>
              </w:rPr>
            </w:pPr>
            <w:r w:rsidRPr="00B07B0D">
              <w:rPr>
                <w:sz w:val="20"/>
                <w:szCs w:val="20"/>
                <w:lang w:val="en-US"/>
              </w:rPr>
              <w:t>2022</w:t>
            </w:r>
          </w:p>
        </w:tc>
        <w:tc>
          <w:tcPr>
            <w:tcW w:w="1092" w:type="dxa"/>
          </w:tcPr>
          <w:p w14:paraId="68E80F3E" w14:textId="194DC5CA" w:rsidR="00D340C7" w:rsidRPr="00B07B0D" w:rsidRDefault="00B45C2C" w:rsidP="00844B0F">
            <w:pPr>
              <w:jc w:val="right"/>
              <w:rPr>
                <w:sz w:val="20"/>
                <w:szCs w:val="20"/>
                <w:lang w:val="en-US"/>
              </w:rPr>
            </w:pPr>
            <w:r w:rsidRPr="00B07B0D">
              <w:rPr>
                <w:sz w:val="20"/>
                <w:szCs w:val="20"/>
                <w:lang w:val="en-US"/>
              </w:rPr>
              <w:t>0</w:t>
            </w:r>
            <w:r w:rsidR="00D340C7" w:rsidRPr="00B07B0D">
              <w:rPr>
                <w:sz w:val="20"/>
                <w:szCs w:val="20"/>
                <w:lang w:val="en-US"/>
              </w:rPr>
              <w:t>.745</w:t>
            </w:r>
          </w:p>
        </w:tc>
        <w:tc>
          <w:tcPr>
            <w:tcW w:w="1346" w:type="dxa"/>
          </w:tcPr>
          <w:p w14:paraId="299DA347" w14:textId="2F794F7E" w:rsidR="00D340C7" w:rsidRPr="00B07B0D" w:rsidRDefault="00CB7D71" w:rsidP="00844B0F">
            <w:pPr>
              <w:jc w:val="right"/>
              <w:rPr>
                <w:sz w:val="20"/>
                <w:szCs w:val="20"/>
                <w:lang w:val="en-US"/>
              </w:rPr>
            </w:pPr>
            <w:r w:rsidRPr="00B07B0D">
              <w:rPr>
                <w:sz w:val="20"/>
                <w:szCs w:val="20"/>
                <w:lang w:val="en-US"/>
              </w:rPr>
              <w:t>0</w:t>
            </w:r>
            <w:r w:rsidR="00D340C7" w:rsidRPr="00B07B0D">
              <w:rPr>
                <w:sz w:val="20"/>
                <w:szCs w:val="20"/>
                <w:lang w:val="en-US"/>
              </w:rPr>
              <w:t>.549</w:t>
            </w:r>
          </w:p>
        </w:tc>
        <w:tc>
          <w:tcPr>
            <w:tcW w:w="2310" w:type="dxa"/>
          </w:tcPr>
          <w:p w14:paraId="1F8DA7E6" w14:textId="4910BFB5" w:rsidR="00D340C7" w:rsidRPr="00B07B0D" w:rsidRDefault="00D340C7" w:rsidP="00844B0F">
            <w:pPr>
              <w:jc w:val="right"/>
              <w:rPr>
                <w:sz w:val="20"/>
                <w:szCs w:val="20"/>
                <w:lang w:val="en-US"/>
              </w:rPr>
            </w:pPr>
            <w:r w:rsidRPr="00B07B0D">
              <w:rPr>
                <w:sz w:val="20"/>
                <w:szCs w:val="20"/>
                <w:lang w:val="en-US"/>
              </w:rPr>
              <w:t>4.279</w:t>
            </w:r>
          </w:p>
        </w:tc>
        <w:tc>
          <w:tcPr>
            <w:tcW w:w="1710" w:type="dxa"/>
          </w:tcPr>
          <w:p w14:paraId="186ED283" w14:textId="77777777" w:rsidR="00D340C7" w:rsidRPr="00B07B0D" w:rsidRDefault="00D340C7" w:rsidP="00844B0F">
            <w:pPr>
              <w:jc w:val="right"/>
              <w:rPr>
                <w:sz w:val="20"/>
                <w:szCs w:val="20"/>
                <w:lang w:val="en-US"/>
              </w:rPr>
            </w:pPr>
            <w:r w:rsidRPr="00B07B0D">
              <w:rPr>
                <w:sz w:val="20"/>
                <w:szCs w:val="20"/>
                <w:lang w:val="en-US"/>
              </w:rPr>
              <w:t>1.911</w:t>
            </w:r>
          </w:p>
        </w:tc>
      </w:tr>
      <w:tr w:rsidR="00107B20" w:rsidRPr="00B07B0D" w14:paraId="23C7336F" w14:textId="77777777" w:rsidTr="005C23ED">
        <w:trPr>
          <w:trHeight w:val="74"/>
          <w:jc w:val="center"/>
        </w:trPr>
        <w:tc>
          <w:tcPr>
            <w:tcW w:w="1128" w:type="dxa"/>
          </w:tcPr>
          <w:p w14:paraId="71E9104B" w14:textId="65115282" w:rsidR="00D340C7" w:rsidRPr="00B07B0D" w:rsidRDefault="00D340C7" w:rsidP="00844B0F">
            <w:pPr>
              <w:jc w:val="right"/>
              <w:rPr>
                <w:sz w:val="20"/>
                <w:szCs w:val="20"/>
                <w:lang w:val="en-US"/>
              </w:rPr>
            </w:pPr>
            <w:r w:rsidRPr="00B07B0D">
              <w:rPr>
                <w:sz w:val="20"/>
                <w:szCs w:val="20"/>
                <w:lang w:val="en-US"/>
              </w:rPr>
              <w:t>2023</w:t>
            </w:r>
          </w:p>
        </w:tc>
        <w:tc>
          <w:tcPr>
            <w:tcW w:w="1092" w:type="dxa"/>
          </w:tcPr>
          <w:p w14:paraId="1522F061" w14:textId="57A99F5D" w:rsidR="00D340C7" w:rsidRPr="00B07B0D" w:rsidRDefault="00B45C2C" w:rsidP="00844B0F">
            <w:pPr>
              <w:jc w:val="right"/>
              <w:rPr>
                <w:sz w:val="20"/>
                <w:szCs w:val="20"/>
                <w:lang w:val="en-US"/>
              </w:rPr>
            </w:pPr>
            <w:r w:rsidRPr="00B07B0D">
              <w:rPr>
                <w:sz w:val="20"/>
                <w:szCs w:val="20"/>
                <w:lang w:val="en-US"/>
              </w:rPr>
              <w:t>0</w:t>
            </w:r>
            <w:r w:rsidR="00D340C7" w:rsidRPr="00B07B0D">
              <w:rPr>
                <w:sz w:val="20"/>
                <w:szCs w:val="20"/>
                <w:lang w:val="en-US"/>
              </w:rPr>
              <w:t>.534</w:t>
            </w:r>
          </w:p>
        </w:tc>
        <w:tc>
          <w:tcPr>
            <w:tcW w:w="1346" w:type="dxa"/>
          </w:tcPr>
          <w:p w14:paraId="786C78B3" w14:textId="5BEB6FBC" w:rsidR="00D340C7" w:rsidRPr="00B07B0D" w:rsidRDefault="00CB7D71" w:rsidP="00844B0F">
            <w:pPr>
              <w:jc w:val="right"/>
              <w:rPr>
                <w:sz w:val="20"/>
                <w:szCs w:val="20"/>
                <w:lang w:val="en-US"/>
              </w:rPr>
            </w:pPr>
            <w:r w:rsidRPr="00B07B0D">
              <w:rPr>
                <w:sz w:val="20"/>
                <w:szCs w:val="20"/>
                <w:lang w:val="en-US"/>
              </w:rPr>
              <w:t>0</w:t>
            </w:r>
            <w:r w:rsidR="00D340C7" w:rsidRPr="00B07B0D">
              <w:rPr>
                <w:sz w:val="20"/>
                <w:szCs w:val="20"/>
                <w:lang w:val="en-US"/>
              </w:rPr>
              <w:t>.275</w:t>
            </w:r>
          </w:p>
        </w:tc>
        <w:tc>
          <w:tcPr>
            <w:tcW w:w="2310" w:type="dxa"/>
          </w:tcPr>
          <w:p w14:paraId="745F6575" w14:textId="22976669" w:rsidR="00D340C7" w:rsidRPr="00B07B0D" w:rsidRDefault="00D340C7" w:rsidP="00844B0F">
            <w:pPr>
              <w:jc w:val="right"/>
              <w:rPr>
                <w:sz w:val="20"/>
                <w:szCs w:val="20"/>
                <w:lang w:val="en-US"/>
              </w:rPr>
            </w:pPr>
            <w:r w:rsidRPr="00B07B0D">
              <w:rPr>
                <w:sz w:val="20"/>
                <w:szCs w:val="20"/>
                <w:lang w:val="en-US"/>
              </w:rPr>
              <w:t>5.589</w:t>
            </w:r>
          </w:p>
        </w:tc>
        <w:tc>
          <w:tcPr>
            <w:tcW w:w="1710" w:type="dxa"/>
          </w:tcPr>
          <w:p w14:paraId="0AC43238" w14:textId="77777777" w:rsidR="00D340C7" w:rsidRPr="00B07B0D" w:rsidRDefault="00D340C7" w:rsidP="00844B0F">
            <w:pPr>
              <w:jc w:val="right"/>
              <w:rPr>
                <w:sz w:val="20"/>
                <w:szCs w:val="20"/>
                <w:lang w:val="en-US"/>
              </w:rPr>
            </w:pPr>
            <w:r w:rsidRPr="00B07B0D">
              <w:rPr>
                <w:sz w:val="20"/>
                <w:szCs w:val="20"/>
                <w:lang w:val="en-US"/>
              </w:rPr>
              <w:t>1.917</w:t>
            </w:r>
          </w:p>
        </w:tc>
      </w:tr>
      <w:tr w:rsidR="00107B20" w:rsidRPr="00B07B0D" w14:paraId="4A4CF819" w14:textId="77777777" w:rsidTr="005C23ED">
        <w:trPr>
          <w:trHeight w:val="74"/>
          <w:jc w:val="center"/>
        </w:trPr>
        <w:tc>
          <w:tcPr>
            <w:tcW w:w="1128" w:type="dxa"/>
          </w:tcPr>
          <w:p w14:paraId="2C0CFFCB" w14:textId="77777777" w:rsidR="00D340C7" w:rsidRPr="00B07B0D" w:rsidRDefault="00D340C7" w:rsidP="00844B0F">
            <w:pPr>
              <w:jc w:val="right"/>
              <w:rPr>
                <w:sz w:val="20"/>
                <w:szCs w:val="20"/>
                <w:lang w:val="en-US"/>
              </w:rPr>
            </w:pPr>
            <w:r w:rsidRPr="00B07B0D">
              <w:rPr>
                <w:sz w:val="20"/>
                <w:szCs w:val="20"/>
                <w:lang w:val="en-US"/>
              </w:rPr>
              <w:t>2024</w:t>
            </w:r>
          </w:p>
        </w:tc>
        <w:tc>
          <w:tcPr>
            <w:tcW w:w="1092" w:type="dxa"/>
          </w:tcPr>
          <w:p w14:paraId="09BDD9C1" w14:textId="2153897B" w:rsidR="00D340C7" w:rsidRPr="00B07B0D" w:rsidRDefault="00B45C2C" w:rsidP="00844B0F">
            <w:pPr>
              <w:jc w:val="right"/>
              <w:rPr>
                <w:sz w:val="20"/>
                <w:szCs w:val="20"/>
                <w:lang w:val="en-US"/>
              </w:rPr>
            </w:pPr>
            <w:r w:rsidRPr="00B07B0D">
              <w:rPr>
                <w:sz w:val="20"/>
                <w:szCs w:val="20"/>
                <w:lang w:val="en-US"/>
              </w:rPr>
              <w:t>0</w:t>
            </w:r>
            <w:r w:rsidR="00D340C7" w:rsidRPr="00B07B0D">
              <w:rPr>
                <w:sz w:val="20"/>
                <w:szCs w:val="20"/>
                <w:lang w:val="en-US"/>
              </w:rPr>
              <w:t>.611</w:t>
            </w:r>
          </w:p>
        </w:tc>
        <w:tc>
          <w:tcPr>
            <w:tcW w:w="1346" w:type="dxa"/>
          </w:tcPr>
          <w:p w14:paraId="53576DC5" w14:textId="722A6CC4" w:rsidR="00D340C7" w:rsidRPr="00B07B0D" w:rsidRDefault="00CB7D71" w:rsidP="00844B0F">
            <w:pPr>
              <w:jc w:val="right"/>
              <w:rPr>
                <w:sz w:val="20"/>
                <w:szCs w:val="20"/>
                <w:lang w:val="en-US"/>
              </w:rPr>
            </w:pPr>
            <w:r w:rsidRPr="00B07B0D">
              <w:rPr>
                <w:sz w:val="20"/>
                <w:szCs w:val="20"/>
                <w:lang w:val="en-US"/>
              </w:rPr>
              <w:t>0</w:t>
            </w:r>
            <w:r w:rsidR="00D340C7" w:rsidRPr="00B07B0D">
              <w:rPr>
                <w:sz w:val="20"/>
                <w:szCs w:val="20"/>
                <w:lang w:val="en-US"/>
              </w:rPr>
              <w:t>.363</w:t>
            </w:r>
          </w:p>
        </w:tc>
        <w:tc>
          <w:tcPr>
            <w:tcW w:w="2310" w:type="dxa"/>
          </w:tcPr>
          <w:p w14:paraId="5C1B024B" w14:textId="254093F3" w:rsidR="00D340C7" w:rsidRPr="00B07B0D" w:rsidRDefault="00D340C7" w:rsidP="00844B0F">
            <w:pPr>
              <w:jc w:val="right"/>
              <w:rPr>
                <w:sz w:val="20"/>
                <w:szCs w:val="20"/>
                <w:lang w:val="en-US"/>
              </w:rPr>
            </w:pPr>
            <w:r w:rsidRPr="00B07B0D">
              <w:rPr>
                <w:sz w:val="20"/>
                <w:szCs w:val="20"/>
                <w:lang w:val="en-US"/>
              </w:rPr>
              <w:t>4.405</w:t>
            </w:r>
          </w:p>
        </w:tc>
        <w:tc>
          <w:tcPr>
            <w:tcW w:w="1710" w:type="dxa"/>
          </w:tcPr>
          <w:p w14:paraId="1333EE63" w14:textId="77777777" w:rsidR="00D340C7" w:rsidRPr="00B07B0D" w:rsidRDefault="00D340C7" w:rsidP="00844B0F">
            <w:pPr>
              <w:jc w:val="right"/>
              <w:rPr>
                <w:sz w:val="20"/>
                <w:szCs w:val="20"/>
                <w:lang w:val="en-US"/>
              </w:rPr>
            </w:pPr>
            <w:r w:rsidRPr="00B07B0D">
              <w:rPr>
                <w:sz w:val="20"/>
                <w:szCs w:val="20"/>
                <w:lang w:val="en-US"/>
              </w:rPr>
              <w:t>1.920</w:t>
            </w:r>
          </w:p>
        </w:tc>
      </w:tr>
    </w:tbl>
    <w:p w14:paraId="197948F8" w14:textId="3E0F3BB4" w:rsidR="00D340C7" w:rsidRPr="00B77B0D" w:rsidRDefault="00947B48" w:rsidP="008766FC">
      <w:pPr>
        <w:jc w:val="center"/>
        <w:rPr>
          <w:iCs/>
          <w:sz w:val="20"/>
          <w:szCs w:val="22"/>
          <w:lang w:val="en-US"/>
        </w:rPr>
      </w:pPr>
      <w:r w:rsidRPr="00B07B0D">
        <w:rPr>
          <w:i/>
          <w:iCs/>
          <w:sz w:val="20"/>
          <w:szCs w:val="22"/>
          <w:lang w:val="en-US"/>
        </w:rPr>
        <w:t>Source</w:t>
      </w:r>
      <w:r w:rsidRPr="00B77B0D">
        <w:rPr>
          <w:iCs/>
          <w:sz w:val="20"/>
          <w:szCs w:val="22"/>
          <w:lang w:val="en-US"/>
        </w:rPr>
        <w:t>: Authors’ own research</w:t>
      </w:r>
    </w:p>
    <w:p w14:paraId="69AD3CC4" w14:textId="77777777" w:rsidR="00C75BF0" w:rsidRPr="00B07B0D" w:rsidRDefault="00C75BF0" w:rsidP="001F62AF">
      <w:pPr>
        <w:rPr>
          <w:i/>
          <w:iCs/>
          <w:sz w:val="20"/>
          <w:szCs w:val="22"/>
          <w:lang w:val="en-US"/>
        </w:rPr>
      </w:pPr>
    </w:p>
    <w:p w14:paraId="4C2AA784" w14:textId="1770DB58" w:rsidR="00304DBB" w:rsidRPr="00B07B0D" w:rsidRDefault="00304DBB" w:rsidP="00B151E8">
      <w:pPr>
        <w:rPr>
          <w:lang w:val="en-US"/>
        </w:rPr>
      </w:pPr>
      <w:r w:rsidRPr="00B07B0D">
        <w:rPr>
          <w:lang w:val="en-US"/>
        </w:rPr>
        <w:t xml:space="preserve">The results of the multiple linear regression highlight a significant relationship between corporate governance mechanisms and measured financial performance, with variations in explanatory power over the analyzed period (2021–2024). During the period 2021–2022, 58–54% of the variation in financial performance (EBITDA) is explained by the structure of the board of directors and the characteristics of the audit committee, which validates the perspective of  Alley </w:t>
      </w:r>
      <w:r w:rsidRPr="00B07B0D">
        <w:rPr>
          <w:i/>
          <w:iCs/>
          <w:lang w:val="en-US"/>
        </w:rPr>
        <w:t xml:space="preserve">et al. </w:t>
      </w:r>
      <w:r w:rsidRPr="00B07B0D">
        <w:rPr>
          <w:lang w:val="en-US"/>
        </w:rPr>
        <w:t xml:space="preserve">(2016), according to whom an appropriate board composition (particularly the presence of non-executive members) can improve firm performance by strengthening the oversight function. </w:t>
      </w:r>
      <w:r w:rsidR="00CC6DFB" w:rsidRPr="00B07B0D">
        <w:rPr>
          <w:lang w:val="en-US"/>
        </w:rPr>
        <w:t xml:space="preserve">However, for the period 2023–2024, the results indicate a decline in the explanatory power of corporate governance mechanisms. </w:t>
      </w:r>
    </w:p>
    <w:p w14:paraId="06008FA9" w14:textId="77777777" w:rsidR="00304DBB" w:rsidRPr="00B07B0D" w:rsidRDefault="00304DBB" w:rsidP="00B151E8">
      <w:pPr>
        <w:rPr>
          <w:lang w:val="en-US"/>
        </w:rPr>
      </w:pPr>
    </w:p>
    <w:p w14:paraId="2C648BA1" w14:textId="2E5D4B9E" w:rsidR="00B151E8" w:rsidRPr="00B07B0D" w:rsidRDefault="00B151E8" w:rsidP="00B151E8">
      <w:pPr>
        <w:rPr>
          <w:lang w:val="en-US"/>
        </w:rPr>
      </w:pPr>
      <w:r w:rsidRPr="00B07B0D">
        <w:rPr>
          <w:lang w:val="en-US"/>
        </w:rPr>
        <w:t xml:space="preserve">Alley </w:t>
      </w:r>
      <w:r w:rsidRPr="00B07B0D">
        <w:rPr>
          <w:i/>
          <w:iCs/>
          <w:lang w:val="en-US"/>
        </w:rPr>
        <w:t>et al</w:t>
      </w:r>
      <w:r w:rsidRPr="00B07B0D">
        <w:rPr>
          <w:lang w:val="en-US"/>
        </w:rPr>
        <w:t>. (2016) highlight that the effects of governance may vary depending on the structure of the financial indicator (ROE versus ROA), with these differences stemming from their distinct denominators. Similarly, the use of EBITDA as a measure of gross operating performance indicates a higher sensitivity to external factors during periods of economic volatility.</w:t>
      </w:r>
    </w:p>
    <w:p w14:paraId="284D79A1" w14:textId="77777777" w:rsidR="00B151E8" w:rsidRPr="00B07B0D" w:rsidRDefault="00B151E8" w:rsidP="00B151E8">
      <w:pPr>
        <w:rPr>
          <w:lang w:val="en-US"/>
        </w:rPr>
      </w:pPr>
    </w:p>
    <w:p w14:paraId="3F3FDCAC" w14:textId="77777777" w:rsidR="00B151E8" w:rsidRPr="00B07B0D" w:rsidRDefault="00B151E8" w:rsidP="00B151E8">
      <w:pPr>
        <w:rPr>
          <w:lang w:val="en-US"/>
        </w:rPr>
      </w:pPr>
      <w:r w:rsidRPr="00B07B0D">
        <w:rPr>
          <w:lang w:val="en-US"/>
        </w:rPr>
        <w:t>Analysis of the Standard Error of the Estimate indicates the accuracy of the regression model during the 2021–2022 period, suggesting that corporate governance mechanisms served as predictors of financial performance (EBITDA). During the 2023–2024 period, variations in the coefficient suggest a more significant influence of residual factors.</w:t>
      </w:r>
    </w:p>
    <w:p w14:paraId="10017B65" w14:textId="77777777" w:rsidR="00B151E8" w:rsidRPr="00B07B0D" w:rsidRDefault="00B151E8" w:rsidP="00B151E8">
      <w:pPr>
        <w:rPr>
          <w:lang w:val="en-US"/>
        </w:rPr>
      </w:pPr>
    </w:p>
    <w:p w14:paraId="148D4DED" w14:textId="23E77B0E" w:rsidR="00B151E8" w:rsidRPr="00B07B0D" w:rsidRDefault="00B151E8" w:rsidP="00B151E8">
      <w:pPr>
        <w:rPr>
          <w:lang w:val="en-US"/>
        </w:rPr>
      </w:pPr>
      <w:r w:rsidRPr="00B07B0D">
        <w:rPr>
          <w:lang w:val="en-US"/>
        </w:rPr>
        <w:t>The Durbin–Watson test values, ranging from 1.911 to 1.994, are close to the ideal threshold of 2, which confirms the absence of autocorrelation in the residuals and, implicitly, supports the validity of the estimated models. The stability of the DW values confirms that the errors are randomly distributed, without serial dependence.</w:t>
      </w:r>
    </w:p>
    <w:p w14:paraId="7EE00364" w14:textId="77777777" w:rsidR="00B151E8" w:rsidRPr="00B07B0D" w:rsidRDefault="00B151E8" w:rsidP="00B151E8">
      <w:pPr>
        <w:rPr>
          <w:lang w:val="en-US"/>
        </w:rPr>
      </w:pPr>
    </w:p>
    <w:p w14:paraId="679FBC6D" w14:textId="45BDC929" w:rsidR="00BC4C3B" w:rsidRPr="00B07B0D" w:rsidRDefault="0035120F" w:rsidP="001F62AF">
      <w:pPr>
        <w:rPr>
          <w:lang w:val="en-US"/>
        </w:rPr>
      </w:pPr>
      <w:r w:rsidRPr="00B07B0D">
        <w:rPr>
          <w:lang w:val="en-US"/>
        </w:rPr>
        <w:t xml:space="preserve">In order to evaluate the performance of the regression model and determine the extent to which corporate governance mechanisms contribute to explaining the variation in financial performance (EBITDA), Table no. </w:t>
      </w:r>
      <w:r w:rsidR="00181363" w:rsidRPr="00B07B0D">
        <w:rPr>
          <w:lang w:val="en-US"/>
        </w:rPr>
        <w:t>6</w:t>
      </w:r>
      <w:r w:rsidRPr="00B07B0D">
        <w:rPr>
          <w:lang w:val="en-US"/>
        </w:rPr>
        <w:t xml:space="preserve"> presents the Anova results.</w:t>
      </w:r>
      <w:r w:rsidR="00A846AC" w:rsidRPr="00B07B0D">
        <w:rPr>
          <w:lang w:val="en-US"/>
        </w:rPr>
        <w:t xml:space="preserve"> </w:t>
      </w:r>
    </w:p>
    <w:p w14:paraId="1902D6C8" w14:textId="77777777" w:rsidR="008766FC" w:rsidRPr="00B07B0D" w:rsidRDefault="008766FC" w:rsidP="001F62AF">
      <w:pPr>
        <w:rPr>
          <w:lang w:val="en-US"/>
        </w:rPr>
      </w:pPr>
    </w:p>
    <w:p w14:paraId="5F8A670F" w14:textId="093D7424" w:rsidR="00BC4C3B" w:rsidRPr="0008438F" w:rsidRDefault="00BC4C3B" w:rsidP="00BC4C3B">
      <w:pPr>
        <w:ind w:firstLine="357"/>
        <w:jc w:val="center"/>
        <w:rPr>
          <w:rFonts w:ascii="Times New Roman" w:hAnsi="Times New Roman" w:cs="Times New Roman"/>
          <w:b/>
          <w:bCs/>
          <w:sz w:val="20"/>
          <w:szCs w:val="20"/>
          <w:lang w:val="en-US"/>
        </w:rPr>
      </w:pPr>
      <w:r w:rsidRPr="0008438F">
        <w:rPr>
          <w:rFonts w:ascii="Times New Roman" w:hAnsi="Times New Roman" w:cs="Times New Roman"/>
          <w:b/>
          <w:bCs/>
          <w:sz w:val="20"/>
          <w:szCs w:val="20"/>
          <w:lang w:val="en-US"/>
        </w:rPr>
        <w:t xml:space="preserve">Table </w:t>
      </w:r>
      <w:r w:rsidR="00181363" w:rsidRPr="0008438F">
        <w:rPr>
          <w:rFonts w:ascii="Times New Roman" w:hAnsi="Times New Roman" w:cs="Times New Roman"/>
          <w:b/>
          <w:bCs/>
          <w:sz w:val="20"/>
          <w:szCs w:val="20"/>
          <w:lang w:val="en-US"/>
        </w:rPr>
        <w:t>6</w:t>
      </w:r>
      <w:r w:rsidRPr="0008438F">
        <w:rPr>
          <w:rFonts w:ascii="Times New Roman" w:hAnsi="Times New Roman" w:cs="Times New Roman"/>
          <w:b/>
          <w:bCs/>
          <w:sz w:val="20"/>
          <w:szCs w:val="20"/>
          <w:lang w:val="en-US"/>
        </w:rPr>
        <w:t>. A</w:t>
      </w:r>
      <w:r w:rsidR="00405C15" w:rsidRPr="0008438F">
        <w:rPr>
          <w:rFonts w:ascii="Times New Roman" w:hAnsi="Times New Roman" w:cs="Times New Roman"/>
          <w:b/>
          <w:bCs/>
          <w:sz w:val="20"/>
          <w:szCs w:val="20"/>
          <w:lang w:val="en-US"/>
        </w:rPr>
        <w:t xml:space="preserve">NOVA </w:t>
      </w:r>
      <w:r w:rsidR="00844B0F" w:rsidRPr="0008438F">
        <w:rPr>
          <w:rFonts w:ascii="Times New Roman" w:hAnsi="Times New Roman" w:cs="Times New Roman"/>
          <w:b/>
          <w:bCs/>
          <w:sz w:val="20"/>
          <w:szCs w:val="20"/>
          <w:lang w:val="en-US"/>
        </w:rPr>
        <w:t>results</w:t>
      </w:r>
    </w:p>
    <w:tbl>
      <w:tblPr>
        <w:tblStyle w:val="TableGrid"/>
        <w:tblW w:w="3563"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1704"/>
        <w:gridCol w:w="1708"/>
      </w:tblGrid>
      <w:tr w:rsidR="00107B20" w:rsidRPr="00B07B0D" w14:paraId="36A8CB39" w14:textId="77777777" w:rsidTr="005C23ED">
        <w:trPr>
          <w:jc w:val="center"/>
        </w:trPr>
        <w:tc>
          <w:tcPr>
            <w:tcW w:w="1752" w:type="pct"/>
            <w:tcBorders>
              <w:top w:val="single" w:sz="4" w:space="0" w:color="auto"/>
              <w:bottom w:val="single" w:sz="4" w:space="0" w:color="auto"/>
            </w:tcBorders>
          </w:tcPr>
          <w:p w14:paraId="5BA093DF" w14:textId="29630A9B" w:rsidR="00BC4C3B" w:rsidRPr="00B07B0D" w:rsidRDefault="00BC4C3B" w:rsidP="008766FC">
            <w:pPr>
              <w:jc w:val="center"/>
              <w:rPr>
                <w:b/>
                <w:bCs/>
                <w:sz w:val="20"/>
                <w:szCs w:val="20"/>
                <w:lang w:val="en-US"/>
              </w:rPr>
            </w:pPr>
            <w:r w:rsidRPr="00B07B0D">
              <w:rPr>
                <w:b/>
                <w:bCs/>
                <w:sz w:val="20"/>
                <w:szCs w:val="20"/>
                <w:lang w:val="en-US"/>
              </w:rPr>
              <w:t>Year</w:t>
            </w:r>
          </w:p>
        </w:tc>
        <w:tc>
          <w:tcPr>
            <w:tcW w:w="1622" w:type="pct"/>
            <w:tcBorders>
              <w:top w:val="single" w:sz="4" w:space="0" w:color="auto"/>
              <w:bottom w:val="single" w:sz="4" w:space="0" w:color="auto"/>
            </w:tcBorders>
            <w:vAlign w:val="bottom"/>
          </w:tcPr>
          <w:p w14:paraId="3A55C1A8" w14:textId="77777777" w:rsidR="00BC4C3B" w:rsidRPr="00B07B0D" w:rsidRDefault="00BC4C3B" w:rsidP="008766FC">
            <w:pPr>
              <w:jc w:val="center"/>
              <w:rPr>
                <w:b/>
                <w:bCs/>
                <w:sz w:val="20"/>
                <w:szCs w:val="20"/>
                <w:lang w:val="en-US"/>
              </w:rPr>
            </w:pPr>
            <w:r w:rsidRPr="00B07B0D">
              <w:rPr>
                <w:b/>
                <w:bCs/>
                <w:sz w:val="20"/>
                <w:szCs w:val="20"/>
                <w:lang w:val="en-US"/>
              </w:rPr>
              <w:t>F</w:t>
            </w:r>
          </w:p>
        </w:tc>
        <w:tc>
          <w:tcPr>
            <w:tcW w:w="1626" w:type="pct"/>
            <w:tcBorders>
              <w:top w:val="single" w:sz="4" w:space="0" w:color="auto"/>
              <w:bottom w:val="single" w:sz="4" w:space="0" w:color="auto"/>
            </w:tcBorders>
            <w:vAlign w:val="bottom"/>
          </w:tcPr>
          <w:p w14:paraId="06F3163D" w14:textId="77777777" w:rsidR="00BC4C3B" w:rsidRPr="00B07B0D" w:rsidRDefault="00BC4C3B" w:rsidP="008766FC">
            <w:pPr>
              <w:jc w:val="center"/>
              <w:rPr>
                <w:b/>
                <w:bCs/>
                <w:sz w:val="20"/>
                <w:szCs w:val="20"/>
                <w:lang w:val="en-US"/>
              </w:rPr>
            </w:pPr>
            <w:r w:rsidRPr="00B07B0D">
              <w:rPr>
                <w:b/>
                <w:bCs/>
                <w:sz w:val="20"/>
                <w:szCs w:val="20"/>
                <w:lang w:val="en-US"/>
              </w:rPr>
              <w:t>Sig.</w:t>
            </w:r>
          </w:p>
        </w:tc>
      </w:tr>
      <w:tr w:rsidR="00107B20" w:rsidRPr="00B07B0D" w14:paraId="62AA5D7B" w14:textId="77777777" w:rsidTr="005C23ED">
        <w:trPr>
          <w:jc w:val="center"/>
        </w:trPr>
        <w:tc>
          <w:tcPr>
            <w:tcW w:w="1752" w:type="pct"/>
            <w:tcBorders>
              <w:top w:val="single" w:sz="4" w:space="0" w:color="auto"/>
            </w:tcBorders>
          </w:tcPr>
          <w:p w14:paraId="048911DE" w14:textId="77777777" w:rsidR="00BC4C3B" w:rsidRPr="00B07B0D" w:rsidRDefault="00BC4C3B" w:rsidP="00844B0F">
            <w:pPr>
              <w:jc w:val="right"/>
              <w:rPr>
                <w:sz w:val="20"/>
                <w:szCs w:val="20"/>
                <w:lang w:val="en-US"/>
              </w:rPr>
            </w:pPr>
            <w:r w:rsidRPr="00B07B0D">
              <w:rPr>
                <w:sz w:val="20"/>
                <w:szCs w:val="20"/>
                <w:lang w:val="en-US"/>
              </w:rPr>
              <w:t>2021</w:t>
            </w:r>
          </w:p>
        </w:tc>
        <w:tc>
          <w:tcPr>
            <w:tcW w:w="1622" w:type="pct"/>
            <w:tcBorders>
              <w:top w:val="single" w:sz="4" w:space="0" w:color="auto"/>
            </w:tcBorders>
          </w:tcPr>
          <w:p w14:paraId="197F220E" w14:textId="77777777" w:rsidR="00BC4C3B" w:rsidRPr="00B07B0D" w:rsidRDefault="00BC4C3B" w:rsidP="00844B0F">
            <w:pPr>
              <w:jc w:val="right"/>
              <w:rPr>
                <w:sz w:val="20"/>
                <w:szCs w:val="20"/>
                <w:lang w:val="en-US"/>
              </w:rPr>
            </w:pPr>
            <w:r w:rsidRPr="00B07B0D">
              <w:rPr>
                <w:sz w:val="20"/>
                <w:szCs w:val="20"/>
                <w:lang w:val="en-US"/>
              </w:rPr>
              <w:t>160.238</w:t>
            </w:r>
          </w:p>
        </w:tc>
        <w:tc>
          <w:tcPr>
            <w:tcW w:w="1626" w:type="pct"/>
            <w:tcBorders>
              <w:top w:val="single" w:sz="4" w:space="0" w:color="auto"/>
            </w:tcBorders>
          </w:tcPr>
          <w:p w14:paraId="3D4A339A" w14:textId="6B3923A4" w:rsidR="00BC4C3B" w:rsidRPr="00B07B0D" w:rsidRDefault="00BC4C3B" w:rsidP="00844B0F">
            <w:pPr>
              <w:jc w:val="right"/>
              <w:rPr>
                <w:sz w:val="20"/>
                <w:szCs w:val="20"/>
                <w:lang w:val="en-US"/>
              </w:rPr>
            </w:pPr>
            <w:r w:rsidRPr="00B07B0D">
              <w:rPr>
                <w:sz w:val="20"/>
                <w:szCs w:val="20"/>
                <w:lang w:val="en-US"/>
              </w:rPr>
              <w:t>&lt;</w:t>
            </w:r>
            <w:r w:rsidR="00C75BF0" w:rsidRPr="00B07B0D">
              <w:rPr>
                <w:sz w:val="20"/>
                <w:szCs w:val="20"/>
                <w:lang w:val="en-US"/>
              </w:rPr>
              <w:t>0</w:t>
            </w:r>
            <w:r w:rsidRPr="00B07B0D">
              <w:rPr>
                <w:sz w:val="20"/>
                <w:szCs w:val="20"/>
                <w:lang w:val="en-US"/>
              </w:rPr>
              <w:t>.001</w:t>
            </w:r>
          </w:p>
        </w:tc>
      </w:tr>
      <w:tr w:rsidR="00107B20" w:rsidRPr="00B07B0D" w14:paraId="0AB4E20B" w14:textId="77777777" w:rsidTr="005C23ED">
        <w:trPr>
          <w:jc w:val="center"/>
        </w:trPr>
        <w:tc>
          <w:tcPr>
            <w:tcW w:w="1752" w:type="pct"/>
          </w:tcPr>
          <w:p w14:paraId="3CD11CEA" w14:textId="77777777" w:rsidR="00BC4C3B" w:rsidRPr="00B07B0D" w:rsidRDefault="00BC4C3B" w:rsidP="00844B0F">
            <w:pPr>
              <w:jc w:val="right"/>
              <w:rPr>
                <w:sz w:val="20"/>
                <w:szCs w:val="20"/>
                <w:lang w:val="en-US"/>
              </w:rPr>
            </w:pPr>
            <w:r w:rsidRPr="00B07B0D">
              <w:rPr>
                <w:sz w:val="20"/>
                <w:szCs w:val="20"/>
                <w:lang w:val="en-US"/>
              </w:rPr>
              <w:t>2022</w:t>
            </w:r>
          </w:p>
        </w:tc>
        <w:tc>
          <w:tcPr>
            <w:tcW w:w="1622" w:type="pct"/>
          </w:tcPr>
          <w:p w14:paraId="3D4EFFB2" w14:textId="77777777" w:rsidR="00BC4C3B" w:rsidRPr="00B07B0D" w:rsidRDefault="00BC4C3B" w:rsidP="00844B0F">
            <w:pPr>
              <w:jc w:val="right"/>
              <w:rPr>
                <w:sz w:val="20"/>
                <w:szCs w:val="20"/>
                <w:lang w:val="en-US"/>
              </w:rPr>
            </w:pPr>
            <w:r w:rsidRPr="00B07B0D">
              <w:rPr>
                <w:sz w:val="20"/>
                <w:szCs w:val="20"/>
                <w:lang w:val="en-US"/>
              </w:rPr>
              <w:t>89.703</w:t>
            </w:r>
          </w:p>
        </w:tc>
        <w:tc>
          <w:tcPr>
            <w:tcW w:w="1626" w:type="pct"/>
          </w:tcPr>
          <w:p w14:paraId="1AB41C78" w14:textId="0A192E89" w:rsidR="00BC4C3B" w:rsidRPr="00B07B0D" w:rsidRDefault="00BC4C3B" w:rsidP="00844B0F">
            <w:pPr>
              <w:jc w:val="right"/>
              <w:rPr>
                <w:sz w:val="20"/>
                <w:szCs w:val="20"/>
                <w:lang w:val="en-US"/>
              </w:rPr>
            </w:pPr>
            <w:r w:rsidRPr="00B07B0D">
              <w:rPr>
                <w:sz w:val="20"/>
                <w:szCs w:val="20"/>
                <w:lang w:val="en-US"/>
              </w:rPr>
              <w:t>&lt;</w:t>
            </w:r>
            <w:r w:rsidR="00C75BF0" w:rsidRPr="00B07B0D">
              <w:rPr>
                <w:sz w:val="20"/>
                <w:szCs w:val="20"/>
                <w:lang w:val="en-US"/>
              </w:rPr>
              <w:t>0</w:t>
            </w:r>
            <w:r w:rsidRPr="00B07B0D">
              <w:rPr>
                <w:sz w:val="20"/>
                <w:szCs w:val="20"/>
                <w:lang w:val="en-US"/>
              </w:rPr>
              <w:t>.001</w:t>
            </w:r>
          </w:p>
        </w:tc>
      </w:tr>
      <w:tr w:rsidR="00107B20" w:rsidRPr="00B07B0D" w14:paraId="25CDA3B6" w14:textId="77777777" w:rsidTr="005C23ED">
        <w:trPr>
          <w:jc w:val="center"/>
        </w:trPr>
        <w:tc>
          <w:tcPr>
            <w:tcW w:w="1752" w:type="pct"/>
          </w:tcPr>
          <w:p w14:paraId="5850672F" w14:textId="579A9B52" w:rsidR="00BC4C3B" w:rsidRPr="00B07B0D" w:rsidRDefault="00BC4C3B" w:rsidP="00844B0F">
            <w:pPr>
              <w:jc w:val="right"/>
              <w:rPr>
                <w:sz w:val="20"/>
                <w:szCs w:val="20"/>
                <w:lang w:val="en-US"/>
              </w:rPr>
            </w:pPr>
            <w:r w:rsidRPr="00B07B0D">
              <w:rPr>
                <w:sz w:val="20"/>
                <w:szCs w:val="20"/>
                <w:lang w:val="en-US"/>
              </w:rPr>
              <w:t>2023</w:t>
            </w:r>
          </w:p>
        </w:tc>
        <w:tc>
          <w:tcPr>
            <w:tcW w:w="1622" w:type="pct"/>
          </w:tcPr>
          <w:p w14:paraId="1F934FD7" w14:textId="77777777" w:rsidR="00BC4C3B" w:rsidRPr="00B07B0D" w:rsidRDefault="00BC4C3B" w:rsidP="00844B0F">
            <w:pPr>
              <w:jc w:val="right"/>
              <w:rPr>
                <w:sz w:val="20"/>
                <w:szCs w:val="20"/>
                <w:lang w:val="en-US"/>
              </w:rPr>
            </w:pPr>
            <w:r w:rsidRPr="00B07B0D">
              <w:rPr>
                <w:sz w:val="20"/>
                <w:szCs w:val="20"/>
                <w:lang w:val="en-US"/>
              </w:rPr>
              <w:t>27.194</w:t>
            </w:r>
          </w:p>
        </w:tc>
        <w:tc>
          <w:tcPr>
            <w:tcW w:w="1626" w:type="pct"/>
          </w:tcPr>
          <w:p w14:paraId="716AB5CE" w14:textId="031AFD3D" w:rsidR="00BC4C3B" w:rsidRPr="00B07B0D" w:rsidRDefault="00BC4C3B" w:rsidP="00844B0F">
            <w:pPr>
              <w:jc w:val="right"/>
              <w:rPr>
                <w:sz w:val="20"/>
                <w:szCs w:val="20"/>
                <w:lang w:val="en-US"/>
              </w:rPr>
            </w:pPr>
            <w:r w:rsidRPr="00B07B0D">
              <w:rPr>
                <w:sz w:val="20"/>
                <w:szCs w:val="20"/>
                <w:lang w:val="en-US"/>
              </w:rPr>
              <w:t>&lt;</w:t>
            </w:r>
            <w:r w:rsidR="00C75BF0" w:rsidRPr="00B07B0D">
              <w:rPr>
                <w:sz w:val="20"/>
                <w:szCs w:val="20"/>
                <w:lang w:val="en-US"/>
              </w:rPr>
              <w:t>0</w:t>
            </w:r>
            <w:r w:rsidRPr="00B07B0D">
              <w:rPr>
                <w:sz w:val="20"/>
                <w:szCs w:val="20"/>
                <w:lang w:val="en-US"/>
              </w:rPr>
              <w:t>.001</w:t>
            </w:r>
          </w:p>
        </w:tc>
      </w:tr>
      <w:tr w:rsidR="00107B20" w:rsidRPr="00B07B0D" w14:paraId="73A135F1" w14:textId="77777777" w:rsidTr="005C23ED">
        <w:trPr>
          <w:jc w:val="center"/>
        </w:trPr>
        <w:tc>
          <w:tcPr>
            <w:tcW w:w="1752" w:type="pct"/>
          </w:tcPr>
          <w:p w14:paraId="5D0E4AF7" w14:textId="77777777" w:rsidR="00BC4C3B" w:rsidRPr="00B07B0D" w:rsidRDefault="00BC4C3B" w:rsidP="00844B0F">
            <w:pPr>
              <w:jc w:val="right"/>
              <w:rPr>
                <w:sz w:val="20"/>
                <w:szCs w:val="20"/>
                <w:lang w:val="en-US"/>
              </w:rPr>
            </w:pPr>
            <w:r w:rsidRPr="00B07B0D">
              <w:rPr>
                <w:sz w:val="20"/>
                <w:szCs w:val="20"/>
                <w:lang w:val="en-US"/>
              </w:rPr>
              <w:t>2024</w:t>
            </w:r>
          </w:p>
        </w:tc>
        <w:tc>
          <w:tcPr>
            <w:tcW w:w="1622" w:type="pct"/>
          </w:tcPr>
          <w:p w14:paraId="085EDB5F" w14:textId="77777777" w:rsidR="00BC4C3B" w:rsidRPr="00B07B0D" w:rsidRDefault="00BC4C3B" w:rsidP="00844B0F">
            <w:pPr>
              <w:jc w:val="right"/>
              <w:rPr>
                <w:sz w:val="20"/>
                <w:szCs w:val="20"/>
                <w:lang w:val="en-US"/>
              </w:rPr>
            </w:pPr>
            <w:r w:rsidRPr="00B07B0D">
              <w:rPr>
                <w:sz w:val="20"/>
                <w:szCs w:val="20"/>
                <w:lang w:val="en-US"/>
              </w:rPr>
              <w:t>36.256</w:t>
            </w:r>
          </w:p>
        </w:tc>
        <w:tc>
          <w:tcPr>
            <w:tcW w:w="1626" w:type="pct"/>
          </w:tcPr>
          <w:p w14:paraId="3A1285BB" w14:textId="3D71BADE" w:rsidR="00BC4C3B" w:rsidRPr="00B07B0D" w:rsidRDefault="00BC4C3B" w:rsidP="00844B0F">
            <w:pPr>
              <w:jc w:val="right"/>
              <w:rPr>
                <w:sz w:val="20"/>
                <w:szCs w:val="20"/>
                <w:lang w:val="en-US"/>
              </w:rPr>
            </w:pPr>
            <w:r w:rsidRPr="00B07B0D">
              <w:rPr>
                <w:sz w:val="20"/>
                <w:szCs w:val="20"/>
                <w:lang w:val="en-US"/>
              </w:rPr>
              <w:t>&lt;</w:t>
            </w:r>
            <w:r w:rsidR="00C75BF0" w:rsidRPr="00B07B0D">
              <w:rPr>
                <w:sz w:val="20"/>
                <w:szCs w:val="20"/>
                <w:lang w:val="en-US"/>
              </w:rPr>
              <w:t>0</w:t>
            </w:r>
            <w:r w:rsidRPr="00B07B0D">
              <w:rPr>
                <w:sz w:val="20"/>
                <w:szCs w:val="20"/>
                <w:lang w:val="en-US"/>
              </w:rPr>
              <w:t>.001</w:t>
            </w:r>
          </w:p>
        </w:tc>
      </w:tr>
    </w:tbl>
    <w:p w14:paraId="1B1A90DE" w14:textId="550E8722" w:rsidR="00BC4C3B" w:rsidRPr="0008438F" w:rsidRDefault="00BC4C3B" w:rsidP="008766FC">
      <w:pPr>
        <w:shd w:val="clear" w:color="auto" w:fill="FFFFFF"/>
        <w:jc w:val="center"/>
        <w:rPr>
          <w:rFonts w:asciiTheme="minorHAnsi" w:hAnsiTheme="minorHAnsi" w:cstheme="minorHAnsi"/>
          <w:iCs/>
          <w:sz w:val="20"/>
          <w:szCs w:val="20"/>
          <w:lang w:val="en-US"/>
        </w:rPr>
      </w:pPr>
      <w:r w:rsidRPr="00B07B0D">
        <w:rPr>
          <w:i/>
          <w:iCs/>
          <w:sz w:val="20"/>
          <w:szCs w:val="20"/>
          <w:lang w:val="en-US"/>
        </w:rPr>
        <w:t>Source:</w:t>
      </w:r>
      <w:r w:rsidRPr="0008438F">
        <w:rPr>
          <w:iCs/>
          <w:sz w:val="20"/>
          <w:szCs w:val="20"/>
          <w:lang w:val="en-US"/>
        </w:rPr>
        <w:t xml:space="preserve"> Authors’ own research</w:t>
      </w:r>
    </w:p>
    <w:p w14:paraId="00A5CAA9" w14:textId="77777777" w:rsidR="00D340C7" w:rsidRPr="0008438F" w:rsidRDefault="00D340C7" w:rsidP="001F62AF">
      <w:pPr>
        <w:rPr>
          <w:lang w:val="en-US"/>
        </w:rPr>
      </w:pPr>
    </w:p>
    <w:p w14:paraId="2C2C6B6E" w14:textId="0E09A23F" w:rsidR="0019269E" w:rsidRPr="00B07B0D" w:rsidRDefault="007A5BA4" w:rsidP="0019269E">
      <w:pPr>
        <w:rPr>
          <w:lang w:val="en-US"/>
        </w:rPr>
      </w:pPr>
      <w:r w:rsidRPr="00B07B0D">
        <w:rPr>
          <w:lang w:val="en-US"/>
        </w:rPr>
        <w:t>The results of the ANOVA test show that the regression model is statistically significant for each year analyzed. The F-statistic value ranging from [160.238–36.256], as well as the associated significance (Sig. &lt; 0.001), indicate that the estimated regression models significantly explain the variation in the dependent variable.  Therefore, corporate governance mechanisms have an impact on financial performance as measured by EBITDA. However, the decline in the F-statistic value over the analyzed period reflects a gradual decrease in the overall explanatory power of the models.</w:t>
      </w:r>
    </w:p>
    <w:p w14:paraId="3B1B2DCB" w14:textId="77777777" w:rsidR="007A5BA4" w:rsidRPr="00B07B0D" w:rsidRDefault="007A5BA4" w:rsidP="0019269E">
      <w:pPr>
        <w:rPr>
          <w:lang w:val="en-US"/>
        </w:rPr>
      </w:pPr>
    </w:p>
    <w:p w14:paraId="56775355" w14:textId="2D9894D0" w:rsidR="0019269E" w:rsidRPr="00B07B0D" w:rsidRDefault="0019269E" w:rsidP="0019269E">
      <w:pPr>
        <w:rPr>
          <w:lang w:val="en-US"/>
        </w:rPr>
      </w:pPr>
      <w:r w:rsidRPr="00B07B0D">
        <w:rPr>
          <w:lang w:val="en-US"/>
        </w:rPr>
        <w:t xml:space="preserve">To highlight the contribution of each independent variable to the dependent variable (EBITDA), we will present the results regarding the centralized situation of the standardized coefficients (Table no. </w:t>
      </w:r>
      <w:r w:rsidR="00181363" w:rsidRPr="00B07B0D">
        <w:rPr>
          <w:lang w:val="en-US"/>
        </w:rPr>
        <w:t>7</w:t>
      </w:r>
      <w:r w:rsidRPr="00B07B0D">
        <w:rPr>
          <w:lang w:val="en-US"/>
        </w:rPr>
        <w:t>).</w:t>
      </w:r>
    </w:p>
    <w:p w14:paraId="47D4D38D" w14:textId="77777777" w:rsidR="00982C41" w:rsidRPr="00B07B0D" w:rsidRDefault="00982C41" w:rsidP="00982C41">
      <w:pPr>
        <w:rPr>
          <w:b/>
          <w:bCs/>
          <w:lang w:val="en-US"/>
        </w:rPr>
      </w:pPr>
    </w:p>
    <w:p w14:paraId="7C8D2656" w14:textId="7473096A" w:rsidR="00982C41" w:rsidRPr="00B07B0D" w:rsidRDefault="00982C41" w:rsidP="00982C41">
      <w:pPr>
        <w:jc w:val="center"/>
        <w:rPr>
          <w:b/>
          <w:bCs/>
          <w:sz w:val="20"/>
          <w:szCs w:val="22"/>
          <w:lang w:val="en-US"/>
        </w:rPr>
      </w:pPr>
      <w:r w:rsidRPr="00B07B0D">
        <w:rPr>
          <w:b/>
          <w:bCs/>
          <w:sz w:val="20"/>
          <w:szCs w:val="22"/>
          <w:lang w:val="en-US"/>
        </w:rPr>
        <w:t xml:space="preserve">Table </w:t>
      </w:r>
      <w:r w:rsidR="00181363" w:rsidRPr="00B07B0D">
        <w:rPr>
          <w:b/>
          <w:bCs/>
          <w:sz w:val="20"/>
          <w:szCs w:val="22"/>
          <w:lang w:val="en-US"/>
        </w:rPr>
        <w:t>7</w:t>
      </w:r>
      <w:r w:rsidRPr="00B07B0D">
        <w:rPr>
          <w:b/>
          <w:bCs/>
          <w:sz w:val="20"/>
          <w:szCs w:val="22"/>
          <w:lang w:val="en-US"/>
        </w:rPr>
        <w:t xml:space="preserve">. Analysis of </w:t>
      </w:r>
      <w:r w:rsidR="005C23ED" w:rsidRPr="00B07B0D">
        <w:rPr>
          <w:b/>
          <w:bCs/>
          <w:sz w:val="20"/>
          <w:szCs w:val="22"/>
          <w:lang w:val="en-US"/>
        </w:rPr>
        <w:t>standardized coefficients</w:t>
      </w:r>
    </w:p>
    <w:tbl>
      <w:tblPr>
        <w:tblW w:w="4231" w:type="pct"/>
        <w:jc w:val="center"/>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653"/>
        <w:gridCol w:w="1192"/>
        <w:gridCol w:w="490"/>
        <w:gridCol w:w="2201"/>
        <w:gridCol w:w="710"/>
        <w:gridCol w:w="990"/>
      </w:tblGrid>
      <w:tr w:rsidR="00107B20" w:rsidRPr="00B07B0D" w14:paraId="5EC81608" w14:textId="77777777" w:rsidTr="005C23ED">
        <w:trPr>
          <w:trHeight w:val="61"/>
          <w:tblHeader/>
          <w:jc w:val="center"/>
        </w:trPr>
        <w:tc>
          <w:tcPr>
            <w:tcW w:w="523" w:type="pct"/>
            <w:tcBorders>
              <w:top w:val="single" w:sz="4" w:space="0" w:color="auto"/>
              <w:bottom w:val="single" w:sz="4" w:space="0" w:color="auto"/>
            </w:tcBorders>
          </w:tcPr>
          <w:p w14:paraId="1C576AB4" w14:textId="0BAEE804" w:rsidR="00982C41" w:rsidRPr="00B07B0D" w:rsidRDefault="00D86F20" w:rsidP="00D86F20">
            <w:pPr>
              <w:ind w:left="30" w:right="40"/>
              <w:jc w:val="center"/>
              <w:rPr>
                <w:rFonts w:ascii="Times New Roman" w:hAnsi="Times New Roman" w:cs="Times New Roman"/>
                <w:b/>
                <w:bCs/>
                <w:sz w:val="20"/>
                <w:szCs w:val="20"/>
                <w:lang w:val="en-US"/>
              </w:rPr>
            </w:pPr>
            <w:r w:rsidRPr="00B07B0D">
              <w:rPr>
                <w:rFonts w:ascii="Times New Roman" w:hAnsi="Times New Roman" w:cs="Times New Roman"/>
                <w:b/>
                <w:bCs/>
                <w:sz w:val="20"/>
                <w:szCs w:val="20"/>
                <w:lang w:val="en-US"/>
              </w:rPr>
              <w:t>Year</w:t>
            </w:r>
          </w:p>
        </w:tc>
        <w:tc>
          <w:tcPr>
            <w:tcW w:w="956" w:type="pct"/>
            <w:tcBorders>
              <w:top w:val="single" w:sz="4" w:space="0" w:color="auto"/>
              <w:bottom w:val="single" w:sz="4" w:space="0" w:color="auto"/>
            </w:tcBorders>
          </w:tcPr>
          <w:p w14:paraId="60A54844" w14:textId="2C11FAE9" w:rsidR="00982C41" w:rsidRPr="00B07B0D" w:rsidRDefault="00D86F20" w:rsidP="00D86F20">
            <w:pPr>
              <w:ind w:left="30" w:right="40"/>
              <w:jc w:val="center"/>
              <w:rPr>
                <w:rFonts w:ascii="Times New Roman" w:hAnsi="Times New Roman" w:cs="Times New Roman"/>
                <w:b/>
                <w:bCs/>
                <w:sz w:val="20"/>
                <w:szCs w:val="20"/>
                <w:lang w:val="en-US"/>
              </w:rPr>
            </w:pPr>
            <w:r w:rsidRPr="00B07B0D">
              <w:rPr>
                <w:rFonts w:ascii="Times New Roman" w:hAnsi="Times New Roman" w:cs="Times New Roman"/>
                <w:b/>
                <w:bCs/>
                <w:sz w:val="20"/>
                <w:szCs w:val="20"/>
                <w:lang w:val="en-US"/>
              </w:rPr>
              <w:t>Indicator</w:t>
            </w:r>
          </w:p>
        </w:tc>
        <w:tc>
          <w:tcPr>
            <w:tcW w:w="2158" w:type="pct"/>
            <w:gridSpan w:val="2"/>
            <w:tcBorders>
              <w:top w:val="single" w:sz="4" w:space="0" w:color="auto"/>
              <w:bottom w:val="single" w:sz="4" w:space="0" w:color="auto"/>
            </w:tcBorders>
          </w:tcPr>
          <w:p w14:paraId="3FD2407B" w14:textId="4F8875B1" w:rsidR="00982C41" w:rsidRPr="00B07B0D" w:rsidRDefault="00982C41" w:rsidP="00D86F20">
            <w:pPr>
              <w:jc w:val="center"/>
              <w:rPr>
                <w:rFonts w:ascii="Times New Roman" w:hAnsi="Times New Roman" w:cs="Times New Roman"/>
                <w:b/>
                <w:bCs/>
                <w:sz w:val="20"/>
                <w:szCs w:val="20"/>
                <w:lang w:val="en-US"/>
              </w:rPr>
            </w:pPr>
            <w:r w:rsidRPr="00B07B0D">
              <w:rPr>
                <w:rFonts w:ascii="Times New Roman" w:hAnsi="Times New Roman" w:cs="Times New Roman"/>
                <w:b/>
                <w:bCs/>
                <w:sz w:val="20"/>
                <w:szCs w:val="20"/>
                <w:lang w:val="en-US"/>
              </w:rPr>
              <w:t xml:space="preserve">Standardized </w:t>
            </w:r>
            <w:r w:rsidR="005C23ED">
              <w:rPr>
                <w:rFonts w:ascii="Times New Roman" w:hAnsi="Times New Roman" w:cs="Times New Roman"/>
                <w:b/>
                <w:bCs/>
                <w:sz w:val="20"/>
                <w:szCs w:val="20"/>
                <w:lang w:val="en-US"/>
              </w:rPr>
              <w:t>c</w:t>
            </w:r>
            <w:r w:rsidR="006F5D0F" w:rsidRPr="00B07B0D">
              <w:rPr>
                <w:rFonts w:ascii="Times New Roman" w:hAnsi="Times New Roman" w:cs="Times New Roman"/>
                <w:b/>
                <w:bCs/>
                <w:sz w:val="20"/>
                <w:szCs w:val="20"/>
                <w:lang w:val="en-US"/>
              </w:rPr>
              <w:t>oefficients Beta</w:t>
            </w:r>
          </w:p>
        </w:tc>
        <w:tc>
          <w:tcPr>
            <w:tcW w:w="569" w:type="pct"/>
            <w:tcBorders>
              <w:top w:val="single" w:sz="4" w:space="0" w:color="auto"/>
              <w:bottom w:val="single" w:sz="4" w:space="0" w:color="auto"/>
            </w:tcBorders>
          </w:tcPr>
          <w:p w14:paraId="0000781E" w14:textId="77777777" w:rsidR="00982C41" w:rsidRPr="00B07B0D" w:rsidRDefault="00982C41" w:rsidP="00D86F20">
            <w:pPr>
              <w:ind w:left="30" w:right="40"/>
              <w:jc w:val="center"/>
              <w:rPr>
                <w:rFonts w:ascii="Times New Roman" w:hAnsi="Times New Roman" w:cs="Times New Roman"/>
                <w:b/>
                <w:bCs/>
                <w:sz w:val="20"/>
                <w:szCs w:val="20"/>
                <w:lang w:val="en-US"/>
              </w:rPr>
            </w:pPr>
            <w:r w:rsidRPr="00B07B0D">
              <w:rPr>
                <w:rFonts w:ascii="Times New Roman" w:hAnsi="Times New Roman" w:cs="Times New Roman"/>
                <w:b/>
                <w:bCs/>
                <w:sz w:val="20"/>
                <w:szCs w:val="20"/>
                <w:lang w:val="en-US"/>
              </w:rPr>
              <w:t>t</w:t>
            </w:r>
          </w:p>
        </w:tc>
        <w:tc>
          <w:tcPr>
            <w:tcW w:w="794" w:type="pct"/>
            <w:tcBorders>
              <w:top w:val="single" w:sz="4" w:space="0" w:color="auto"/>
              <w:bottom w:val="single" w:sz="4" w:space="0" w:color="auto"/>
            </w:tcBorders>
          </w:tcPr>
          <w:p w14:paraId="2D0CCAAD" w14:textId="77777777" w:rsidR="00982C41" w:rsidRPr="00B07B0D" w:rsidRDefault="00982C41" w:rsidP="00D86F20">
            <w:pPr>
              <w:ind w:left="30" w:right="40"/>
              <w:jc w:val="center"/>
              <w:rPr>
                <w:rFonts w:ascii="Times New Roman" w:hAnsi="Times New Roman" w:cs="Times New Roman"/>
                <w:b/>
                <w:bCs/>
                <w:sz w:val="20"/>
                <w:szCs w:val="20"/>
                <w:lang w:val="en-US"/>
              </w:rPr>
            </w:pPr>
            <w:r w:rsidRPr="00B07B0D">
              <w:rPr>
                <w:rFonts w:ascii="Times New Roman" w:hAnsi="Times New Roman" w:cs="Times New Roman"/>
                <w:b/>
                <w:bCs/>
                <w:sz w:val="20"/>
                <w:szCs w:val="20"/>
                <w:lang w:val="en-US"/>
              </w:rPr>
              <w:t>Sig.</w:t>
            </w:r>
          </w:p>
        </w:tc>
      </w:tr>
      <w:tr w:rsidR="00107B20" w:rsidRPr="00B07B0D" w14:paraId="5F6B7681" w14:textId="77777777" w:rsidTr="005C23ED">
        <w:trPr>
          <w:trHeight w:val="59"/>
          <w:jc w:val="center"/>
        </w:trPr>
        <w:tc>
          <w:tcPr>
            <w:tcW w:w="523" w:type="pct"/>
            <w:vMerge w:val="restart"/>
            <w:tcBorders>
              <w:top w:val="single" w:sz="4" w:space="0" w:color="auto"/>
            </w:tcBorders>
          </w:tcPr>
          <w:p w14:paraId="6B5FC2B8" w14:textId="2CEACE09" w:rsidR="00CB1050" w:rsidRPr="00B07B0D" w:rsidRDefault="00CB1050" w:rsidP="00D23C8C">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2021</w:t>
            </w:r>
          </w:p>
        </w:tc>
        <w:tc>
          <w:tcPr>
            <w:tcW w:w="956" w:type="pct"/>
            <w:tcBorders>
              <w:top w:val="single" w:sz="4" w:space="0" w:color="auto"/>
            </w:tcBorders>
          </w:tcPr>
          <w:p w14:paraId="53BDEC27" w14:textId="46EEFB19" w:rsidR="00CB1050" w:rsidRPr="00B07B0D" w:rsidRDefault="00CB1050" w:rsidP="008766FC">
            <w:pPr>
              <w:rPr>
                <w:rFonts w:ascii="Times New Roman" w:hAnsi="Times New Roman" w:cs="Times New Roman"/>
                <w:sz w:val="20"/>
                <w:szCs w:val="20"/>
                <w:lang w:val="en-US"/>
              </w:rPr>
            </w:pPr>
            <w:r w:rsidRPr="00B07B0D">
              <w:rPr>
                <w:rFonts w:ascii="Times New Roman" w:hAnsi="Times New Roman" w:cs="Times New Roman"/>
                <w:sz w:val="20"/>
                <w:szCs w:val="20"/>
                <w:lang w:val="en-US"/>
              </w:rPr>
              <w:t>(Constant)</w:t>
            </w:r>
          </w:p>
        </w:tc>
        <w:tc>
          <w:tcPr>
            <w:tcW w:w="2158" w:type="pct"/>
            <w:gridSpan w:val="2"/>
            <w:tcBorders>
              <w:top w:val="single" w:sz="4" w:space="0" w:color="auto"/>
            </w:tcBorders>
          </w:tcPr>
          <w:p w14:paraId="38196FCE" w14:textId="77777777" w:rsidR="00CB1050" w:rsidRPr="00B07B0D" w:rsidRDefault="00CB1050" w:rsidP="00844B0F">
            <w:pPr>
              <w:jc w:val="right"/>
              <w:rPr>
                <w:rFonts w:ascii="Times New Roman" w:hAnsi="Times New Roman" w:cs="Times New Roman"/>
                <w:sz w:val="20"/>
                <w:szCs w:val="20"/>
                <w:lang w:val="en-US"/>
              </w:rPr>
            </w:pPr>
          </w:p>
        </w:tc>
        <w:tc>
          <w:tcPr>
            <w:tcW w:w="569" w:type="pct"/>
            <w:tcBorders>
              <w:top w:val="single" w:sz="4" w:space="0" w:color="auto"/>
            </w:tcBorders>
          </w:tcPr>
          <w:p w14:paraId="42E3114B" w14:textId="7D7047AE"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-0.508</w:t>
            </w:r>
          </w:p>
        </w:tc>
        <w:tc>
          <w:tcPr>
            <w:tcW w:w="794" w:type="pct"/>
            <w:tcBorders>
              <w:top w:val="single" w:sz="4" w:space="0" w:color="auto"/>
            </w:tcBorders>
          </w:tcPr>
          <w:p w14:paraId="1C1B53D3" w14:textId="577ADF9C"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0.612</w:t>
            </w:r>
          </w:p>
        </w:tc>
      </w:tr>
      <w:tr w:rsidR="00107B20" w:rsidRPr="00B07B0D" w14:paraId="360B6710" w14:textId="77777777" w:rsidTr="005C23ED">
        <w:trPr>
          <w:trHeight w:val="64"/>
          <w:jc w:val="center"/>
        </w:trPr>
        <w:tc>
          <w:tcPr>
            <w:tcW w:w="523" w:type="pct"/>
            <w:vMerge/>
          </w:tcPr>
          <w:p w14:paraId="38AE1D30" w14:textId="77777777" w:rsidR="00CB1050" w:rsidRPr="00B07B0D" w:rsidRDefault="00CB1050" w:rsidP="00CB1050">
            <w:pPr>
              <w:ind w:left="30" w:right="40"/>
              <w:jc w:val="left"/>
              <w:rPr>
                <w:rFonts w:ascii="Times New Roman" w:hAnsi="Times New Roman" w:cs="Times New Roman"/>
                <w:sz w:val="20"/>
                <w:szCs w:val="20"/>
                <w:lang w:val="en-US"/>
              </w:rPr>
            </w:pPr>
          </w:p>
        </w:tc>
        <w:tc>
          <w:tcPr>
            <w:tcW w:w="956" w:type="pct"/>
          </w:tcPr>
          <w:p w14:paraId="0AA28A9D" w14:textId="6465488F" w:rsidR="00CB1050" w:rsidRPr="00B07B0D" w:rsidRDefault="00CB1050" w:rsidP="008766FC">
            <w:pPr>
              <w:rPr>
                <w:rFonts w:ascii="Times New Roman" w:hAnsi="Times New Roman" w:cs="Times New Roman"/>
                <w:sz w:val="20"/>
                <w:szCs w:val="20"/>
                <w:lang w:val="en-US"/>
              </w:rPr>
            </w:pPr>
            <w:r w:rsidRPr="00B07B0D">
              <w:rPr>
                <w:rFonts w:ascii="Times New Roman" w:hAnsi="Times New Roman" w:cs="Times New Roman"/>
                <w:sz w:val="20"/>
                <w:szCs w:val="20"/>
                <w:lang w:val="en-US"/>
              </w:rPr>
              <w:t>BD_IND</w:t>
            </w:r>
          </w:p>
        </w:tc>
        <w:tc>
          <w:tcPr>
            <w:tcW w:w="2158" w:type="pct"/>
            <w:gridSpan w:val="2"/>
          </w:tcPr>
          <w:p w14:paraId="18AC6A27" w14:textId="23A8C8B6" w:rsidR="00CB1050" w:rsidRPr="00B07B0D" w:rsidRDefault="00CB1050" w:rsidP="00844B0F">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0.038</w:t>
            </w:r>
          </w:p>
        </w:tc>
        <w:tc>
          <w:tcPr>
            <w:tcW w:w="569" w:type="pct"/>
          </w:tcPr>
          <w:p w14:paraId="297107BA" w14:textId="1D28BDB2"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1.515</w:t>
            </w:r>
          </w:p>
        </w:tc>
        <w:tc>
          <w:tcPr>
            <w:tcW w:w="794" w:type="pct"/>
          </w:tcPr>
          <w:p w14:paraId="70422ED4" w14:textId="3F020565"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0.130</w:t>
            </w:r>
          </w:p>
        </w:tc>
      </w:tr>
      <w:tr w:rsidR="00107B20" w:rsidRPr="00B07B0D" w14:paraId="2DC48D20" w14:textId="77777777" w:rsidTr="005C23ED">
        <w:trPr>
          <w:trHeight w:val="64"/>
          <w:jc w:val="center"/>
        </w:trPr>
        <w:tc>
          <w:tcPr>
            <w:tcW w:w="523" w:type="pct"/>
            <w:vMerge/>
          </w:tcPr>
          <w:p w14:paraId="6E7DA7F4" w14:textId="77777777" w:rsidR="00CB1050" w:rsidRPr="00B07B0D" w:rsidRDefault="00CB1050" w:rsidP="00CB1050">
            <w:pPr>
              <w:ind w:left="30" w:right="40"/>
              <w:jc w:val="left"/>
              <w:rPr>
                <w:rFonts w:ascii="Times New Roman" w:hAnsi="Times New Roman" w:cs="Times New Roman"/>
                <w:sz w:val="20"/>
                <w:szCs w:val="20"/>
                <w:lang w:val="en-US"/>
              </w:rPr>
            </w:pPr>
          </w:p>
        </w:tc>
        <w:tc>
          <w:tcPr>
            <w:tcW w:w="956" w:type="pct"/>
          </w:tcPr>
          <w:p w14:paraId="65A11EFE" w14:textId="1C9D8632" w:rsidR="00CB1050" w:rsidRPr="00B07B0D" w:rsidRDefault="00CB1050" w:rsidP="008766FC">
            <w:pPr>
              <w:rPr>
                <w:rFonts w:ascii="Times New Roman" w:hAnsi="Times New Roman" w:cs="Times New Roman"/>
                <w:sz w:val="20"/>
                <w:szCs w:val="20"/>
                <w:lang w:val="en-US"/>
              </w:rPr>
            </w:pPr>
            <w:r w:rsidRPr="00B07B0D">
              <w:rPr>
                <w:rFonts w:ascii="Times New Roman" w:hAnsi="Times New Roman" w:cs="Times New Roman"/>
                <w:sz w:val="20"/>
                <w:szCs w:val="20"/>
                <w:lang w:val="en-US"/>
              </w:rPr>
              <w:t>BD_SIZE</w:t>
            </w:r>
          </w:p>
        </w:tc>
        <w:tc>
          <w:tcPr>
            <w:tcW w:w="2158" w:type="pct"/>
            <w:gridSpan w:val="2"/>
          </w:tcPr>
          <w:p w14:paraId="712EF114" w14:textId="4AF218A4" w:rsidR="00CB1050" w:rsidRPr="00B07B0D" w:rsidRDefault="00CB1050" w:rsidP="00844B0F">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0.188</w:t>
            </w:r>
          </w:p>
        </w:tc>
        <w:tc>
          <w:tcPr>
            <w:tcW w:w="569" w:type="pct"/>
          </w:tcPr>
          <w:p w14:paraId="30E3814E" w14:textId="44A82F62"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9.578</w:t>
            </w:r>
          </w:p>
        </w:tc>
        <w:tc>
          <w:tcPr>
            <w:tcW w:w="794" w:type="pct"/>
          </w:tcPr>
          <w:p w14:paraId="22E45CB0" w14:textId="1FE15830"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&lt;0.001</w:t>
            </w:r>
          </w:p>
        </w:tc>
      </w:tr>
      <w:tr w:rsidR="00107B20" w:rsidRPr="00B07B0D" w14:paraId="7170F5DC" w14:textId="77777777" w:rsidTr="005C23ED">
        <w:trPr>
          <w:trHeight w:val="64"/>
          <w:jc w:val="center"/>
        </w:trPr>
        <w:tc>
          <w:tcPr>
            <w:tcW w:w="523" w:type="pct"/>
            <w:vMerge/>
          </w:tcPr>
          <w:p w14:paraId="6866DF83" w14:textId="77777777" w:rsidR="00CB1050" w:rsidRPr="00B07B0D" w:rsidRDefault="00CB1050" w:rsidP="00CB1050">
            <w:pPr>
              <w:ind w:left="30" w:right="40"/>
              <w:jc w:val="left"/>
              <w:rPr>
                <w:rFonts w:ascii="Times New Roman" w:hAnsi="Times New Roman" w:cs="Times New Roman"/>
                <w:sz w:val="20"/>
                <w:szCs w:val="20"/>
                <w:lang w:val="en-US"/>
              </w:rPr>
            </w:pPr>
          </w:p>
        </w:tc>
        <w:tc>
          <w:tcPr>
            <w:tcW w:w="956" w:type="pct"/>
          </w:tcPr>
          <w:p w14:paraId="4D998B17" w14:textId="6231E362" w:rsidR="00CB1050" w:rsidRPr="00B07B0D" w:rsidRDefault="00CB1050" w:rsidP="008766FC">
            <w:pPr>
              <w:rPr>
                <w:rFonts w:ascii="Times New Roman" w:hAnsi="Times New Roman" w:cs="Times New Roman"/>
                <w:sz w:val="20"/>
                <w:szCs w:val="20"/>
                <w:lang w:val="en-US"/>
              </w:rPr>
            </w:pPr>
            <w:r w:rsidRPr="00B07B0D">
              <w:rPr>
                <w:rFonts w:ascii="Times New Roman" w:hAnsi="Times New Roman" w:cs="Times New Roman"/>
                <w:sz w:val="20"/>
                <w:szCs w:val="20"/>
                <w:lang w:val="en-US"/>
              </w:rPr>
              <w:t>NON_EXEC</w:t>
            </w:r>
          </w:p>
        </w:tc>
        <w:tc>
          <w:tcPr>
            <w:tcW w:w="2158" w:type="pct"/>
            <w:gridSpan w:val="2"/>
          </w:tcPr>
          <w:p w14:paraId="1679DDC8" w14:textId="3BE89998" w:rsidR="00CB1050" w:rsidRPr="00B07B0D" w:rsidRDefault="00CB1050" w:rsidP="00844B0F">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0.026</w:t>
            </w:r>
          </w:p>
        </w:tc>
        <w:tc>
          <w:tcPr>
            <w:tcW w:w="569" w:type="pct"/>
          </w:tcPr>
          <w:p w14:paraId="5C3DEEC3" w14:textId="655926FF"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1.202</w:t>
            </w:r>
          </w:p>
        </w:tc>
        <w:tc>
          <w:tcPr>
            <w:tcW w:w="794" w:type="pct"/>
          </w:tcPr>
          <w:p w14:paraId="4EFD9604" w14:textId="2839E91E"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0.230</w:t>
            </w:r>
          </w:p>
        </w:tc>
      </w:tr>
      <w:tr w:rsidR="00107B20" w:rsidRPr="00B07B0D" w14:paraId="7E74093A" w14:textId="77777777" w:rsidTr="005C23ED">
        <w:trPr>
          <w:trHeight w:val="64"/>
          <w:jc w:val="center"/>
        </w:trPr>
        <w:tc>
          <w:tcPr>
            <w:tcW w:w="523" w:type="pct"/>
            <w:vMerge/>
          </w:tcPr>
          <w:p w14:paraId="1594F408"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0E629B2B" w14:textId="2EED21C9" w:rsidR="00CB1050" w:rsidRPr="00B07B0D" w:rsidRDefault="00CB1050" w:rsidP="008766FC">
            <w:pPr>
              <w:rPr>
                <w:rFonts w:ascii="Times New Roman" w:hAnsi="Times New Roman" w:cs="Times New Roman"/>
                <w:sz w:val="20"/>
                <w:szCs w:val="20"/>
                <w:lang w:val="en-US"/>
              </w:rPr>
            </w:pPr>
            <w:r w:rsidRPr="00B07B0D">
              <w:rPr>
                <w:rFonts w:ascii="Times New Roman" w:hAnsi="Times New Roman" w:cs="Times New Roman"/>
                <w:sz w:val="20"/>
                <w:szCs w:val="20"/>
                <w:lang w:val="en-US"/>
              </w:rPr>
              <w:t>BD_ATT</w:t>
            </w:r>
          </w:p>
        </w:tc>
        <w:tc>
          <w:tcPr>
            <w:tcW w:w="1764" w:type="pct"/>
          </w:tcPr>
          <w:p w14:paraId="77E7864D" w14:textId="50B0EDA1" w:rsidR="00CB1050" w:rsidRPr="00B07B0D" w:rsidRDefault="00CB1050" w:rsidP="00844B0F">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-0.010</w:t>
            </w:r>
          </w:p>
        </w:tc>
        <w:tc>
          <w:tcPr>
            <w:tcW w:w="569" w:type="pct"/>
          </w:tcPr>
          <w:p w14:paraId="08183555" w14:textId="2F343F4D"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-0.559</w:t>
            </w:r>
          </w:p>
        </w:tc>
        <w:tc>
          <w:tcPr>
            <w:tcW w:w="794" w:type="pct"/>
          </w:tcPr>
          <w:p w14:paraId="23C2AD03" w14:textId="400060C7"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0.576</w:t>
            </w:r>
          </w:p>
        </w:tc>
      </w:tr>
      <w:tr w:rsidR="00107B20" w:rsidRPr="00B07B0D" w14:paraId="233778B4" w14:textId="77777777" w:rsidTr="005C23ED">
        <w:trPr>
          <w:trHeight w:val="64"/>
          <w:jc w:val="center"/>
        </w:trPr>
        <w:tc>
          <w:tcPr>
            <w:tcW w:w="523" w:type="pct"/>
            <w:vMerge/>
          </w:tcPr>
          <w:p w14:paraId="4492FEAA"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56409EB1" w14:textId="5A35E72C" w:rsidR="00CB1050" w:rsidRPr="00B07B0D" w:rsidRDefault="00CB1050" w:rsidP="008766FC">
            <w:pPr>
              <w:rPr>
                <w:rFonts w:ascii="Times New Roman" w:hAnsi="Times New Roman" w:cs="Times New Roman"/>
                <w:sz w:val="20"/>
                <w:szCs w:val="20"/>
                <w:lang w:val="en-US"/>
              </w:rPr>
            </w:pPr>
            <w:r w:rsidRPr="00B07B0D">
              <w:rPr>
                <w:rFonts w:ascii="Times New Roman" w:hAnsi="Times New Roman" w:cs="Times New Roman"/>
                <w:sz w:val="20"/>
                <w:szCs w:val="20"/>
                <w:lang w:val="en-US"/>
              </w:rPr>
              <w:t>GEN_BD</w:t>
            </w:r>
          </w:p>
        </w:tc>
        <w:tc>
          <w:tcPr>
            <w:tcW w:w="1764" w:type="pct"/>
          </w:tcPr>
          <w:p w14:paraId="0814CB77" w14:textId="698D7CB2" w:rsidR="00CB1050" w:rsidRPr="00B07B0D" w:rsidRDefault="00CB1050" w:rsidP="00844B0F">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0.004</w:t>
            </w:r>
          </w:p>
        </w:tc>
        <w:tc>
          <w:tcPr>
            <w:tcW w:w="569" w:type="pct"/>
          </w:tcPr>
          <w:p w14:paraId="20CE3B92" w14:textId="73F5A0A9"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0.190</w:t>
            </w:r>
          </w:p>
        </w:tc>
        <w:tc>
          <w:tcPr>
            <w:tcW w:w="794" w:type="pct"/>
          </w:tcPr>
          <w:p w14:paraId="22D01161" w14:textId="31217818"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0.849</w:t>
            </w:r>
          </w:p>
        </w:tc>
      </w:tr>
      <w:tr w:rsidR="00107B20" w:rsidRPr="00B07B0D" w14:paraId="0A6A2A03" w14:textId="77777777" w:rsidTr="005C23ED">
        <w:trPr>
          <w:trHeight w:val="64"/>
          <w:jc w:val="center"/>
        </w:trPr>
        <w:tc>
          <w:tcPr>
            <w:tcW w:w="523" w:type="pct"/>
            <w:vMerge/>
          </w:tcPr>
          <w:p w14:paraId="221E494A"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7EEE62B0" w14:textId="60F263F1" w:rsidR="00CB1050" w:rsidRPr="00B07B0D" w:rsidRDefault="00CB1050" w:rsidP="008766FC">
            <w:pPr>
              <w:rPr>
                <w:rFonts w:ascii="Times New Roman" w:hAnsi="Times New Roman" w:cs="Times New Roman"/>
                <w:sz w:val="20"/>
                <w:szCs w:val="20"/>
                <w:lang w:val="en-US"/>
              </w:rPr>
            </w:pPr>
            <w:r w:rsidRPr="00B07B0D">
              <w:rPr>
                <w:rFonts w:ascii="Times New Roman" w:hAnsi="Times New Roman" w:cs="Times New Roman"/>
                <w:sz w:val="20"/>
                <w:szCs w:val="20"/>
                <w:lang w:val="en-US"/>
              </w:rPr>
              <w:t>GEN_EXEC</w:t>
            </w:r>
          </w:p>
        </w:tc>
        <w:tc>
          <w:tcPr>
            <w:tcW w:w="1764" w:type="pct"/>
          </w:tcPr>
          <w:p w14:paraId="1A4CECBB" w14:textId="6C08FE91" w:rsidR="00CB1050" w:rsidRPr="00B07B0D" w:rsidRDefault="00CB1050" w:rsidP="00844B0F">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0.025</w:t>
            </w:r>
          </w:p>
        </w:tc>
        <w:tc>
          <w:tcPr>
            <w:tcW w:w="569" w:type="pct"/>
          </w:tcPr>
          <w:p w14:paraId="14227FE7" w14:textId="301AF651"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1.321</w:t>
            </w:r>
          </w:p>
        </w:tc>
        <w:tc>
          <w:tcPr>
            <w:tcW w:w="794" w:type="pct"/>
          </w:tcPr>
          <w:p w14:paraId="0A917CB7" w14:textId="15683BCC"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0.187</w:t>
            </w:r>
          </w:p>
        </w:tc>
      </w:tr>
      <w:tr w:rsidR="00107B20" w:rsidRPr="00B07B0D" w14:paraId="0615DF29" w14:textId="77777777" w:rsidTr="005C23ED">
        <w:trPr>
          <w:trHeight w:val="64"/>
          <w:jc w:val="center"/>
        </w:trPr>
        <w:tc>
          <w:tcPr>
            <w:tcW w:w="523" w:type="pct"/>
            <w:vMerge/>
          </w:tcPr>
          <w:p w14:paraId="25DA6B0A"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47493014" w14:textId="4DF0F00A" w:rsidR="00CB1050" w:rsidRPr="00B07B0D" w:rsidRDefault="00CB1050" w:rsidP="008766FC">
            <w:pPr>
              <w:rPr>
                <w:rFonts w:ascii="Times New Roman" w:hAnsi="Times New Roman" w:cs="Times New Roman"/>
                <w:sz w:val="20"/>
                <w:szCs w:val="20"/>
                <w:lang w:val="en-US"/>
              </w:rPr>
            </w:pPr>
            <w:r w:rsidRPr="00B07B0D">
              <w:rPr>
                <w:rFonts w:ascii="Times New Roman" w:hAnsi="Times New Roman" w:cs="Times New Roman"/>
                <w:sz w:val="20"/>
                <w:szCs w:val="20"/>
                <w:lang w:val="en-US"/>
              </w:rPr>
              <w:t>AUD_EXP</w:t>
            </w:r>
          </w:p>
        </w:tc>
        <w:tc>
          <w:tcPr>
            <w:tcW w:w="1764" w:type="pct"/>
          </w:tcPr>
          <w:p w14:paraId="5DC65A1D" w14:textId="5ACAC7B1" w:rsidR="00CB1050" w:rsidRPr="00B07B0D" w:rsidRDefault="00CB1050" w:rsidP="00844B0F">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-0.019</w:t>
            </w:r>
          </w:p>
        </w:tc>
        <w:tc>
          <w:tcPr>
            <w:tcW w:w="569" w:type="pct"/>
          </w:tcPr>
          <w:p w14:paraId="1D7BE520" w14:textId="305BAF30"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-1.008</w:t>
            </w:r>
          </w:p>
        </w:tc>
        <w:tc>
          <w:tcPr>
            <w:tcW w:w="794" w:type="pct"/>
          </w:tcPr>
          <w:p w14:paraId="3511C741" w14:textId="485C8EC4"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0.314</w:t>
            </w:r>
          </w:p>
        </w:tc>
      </w:tr>
      <w:tr w:rsidR="00107B20" w:rsidRPr="00B07B0D" w14:paraId="7AA75EC6" w14:textId="77777777" w:rsidTr="005C23ED">
        <w:trPr>
          <w:trHeight w:val="64"/>
          <w:jc w:val="center"/>
        </w:trPr>
        <w:tc>
          <w:tcPr>
            <w:tcW w:w="523" w:type="pct"/>
            <w:vMerge/>
          </w:tcPr>
          <w:p w14:paraId="101ED382"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09A4CAC4" w14:textId="2F358128" w:rsidR="00CB1050" w:rsidRPr="00B07B0D" w:rsidRDefault="00CB1050" w:rsidP="008766FC">
            <w:pPr>
              <w:rPr>
                <w:rFonts w:ascii="Times New Roman" w:hAnsi="Times New Roman" w:cs="Times New Roman"/>
                <w:sz w:val="20"/>
                <w:szCs w:val="20"/>
                <w:lang w:val="en-US"/>
              </w:rPr>
            </w:pPr>
            <w:r w:rsidRPr="00B07B0D">
              <w:rPr>
                <w:rFonts w:ascii="Times New Roman" w:hAnsi="Times New Roman" w:cs="Times New Roman"/>
                <w:sz w:val="20"/>
                <w:szCs w:val="20"/>
                <w:lang w:val="en-US"/>
              </w:rPr>
              <w:t>AUD_NONEX</w:t>
            </w:r>
          </w:p>
        </w:tc>
        <w:tc>
          <w:tcPr>
            <w:tcW w:w="1764" w:type="pct"/>
          </w:tcPr>
          <w:p w14:paraId="12037EF2" w14:textId="21DDD63D" w:rsidR="00CB1050" w:rsidRPr="00B07B0D" w:rsidRDefault="00CB1050" w:rsidP="00844B0F">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-0.025</w:t>
            </w:r>
          </w:p>
        </w:tc>
        <w:tc>
          <w:tcPr>
            <w:tcW w:w="569" w:type="pct"/>
          </w:tcPr>
          <w:p w14:paraId="2B29D72B" w14:textId="56709E40"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-1.168</w:t>
            </w:r>
          </w:p>
        </w:tc>
        <w:tc>
          <w:tcPr>
            <w:tcW w:w="794" w:type="pct"/>
          </w:tcPr>
          <w:p w14:paraId="7F304A82" w14:textId="3973F104"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0.243</w:t>
            </w:r>
          </w:p>
        </w:tc>
      </w:tr>
      <w:tr w:rsidR="00107B20" w:rsidRPr="00B07B0D" w14:paraId="0928217B" w14:textId="77777777" w:rsidTr="005C23ED">
        <w:trPr>
          <w:trHeight w:val="64"/>
          <w:jc w:val="center"/>
        </w:trPr>
        <w:tc>
          <w:tcPr>
            <w:tcW w:w="523" w:type="pct"/>
            <w:vMerge/>
          </w:tcPr>
          <w:p w14:paraId="01EBD462"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4F3F7038" w14:textId="32A8A6FC" w:rsidR="00CB1050" w:rsidRPr="00B07B0D" w:rsidRDefault="00CB1050" w:rsidP="008766FC">
            <w:pPr>
              <w:rPr>
                <w:rFonts w:ascii="Times New Roman" w:hAnsi="Times New Roman" w:cs="Times New Roman"/>
                <w:sz w:val="20"/>
                <w:szCs w:val="20"/>
                <w:lang w:val="en-US"/>
              </w:rPr>
            </w:pPr>
            <w:r w:rsidRPr="00B07B0D">
              <w:rPr>
                <w:rFonts w:ascii="Times New Roman" w:hAnsi="Times New Roman" w:cs="Times New Roman"/>
                <w:sz w:val="20"/>
                <w:szCs w:val="20"/>
                <w:lang w:val="en-US"/>
              </w:rPr>
              <w:t>AUD_IND</w:t>
            </w:r>
          </w:p>
        </w:tc>
        <w:tc>
          <w:tcPr>
            <w:tcW w:w="1764" w:type="pct"/>
          </w:tcPr>
          <w:p w14:paraId="4FC0EC29" w14:textId="2FF1F248" w:rsidR="00CB1050" w:rsidRPr="00B07B0D" w:rsidRDefault="00CB1050" w:rsidP="00844B0F">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0.026</w:t>
            </w:r>
          </w:p>
        </w:tc>
        <w:tc>
          <w:tcPr>
            <w:tcW w:w="569" w:type="pct"/>
          </w:tcPr>
          <w:p w14:paraId="3730CD3E" w14:textId="6FE88719"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1.063</w:t>
            </w:r>
          </w:p>
        </w:tc>
        <w:tc>
          <w:tcPr>
            <w:tcW w:w="794" w:type="pct"/>
          </w:tcPr>
          <w:p w14:paraId="663E9006" w14:textId="4693CD35"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0.288</w:t>
            </w:r>
          </w:p>
        </w:tc>
      </w:tr>
      <w:tr w:rsidR="00107B20" w:rsidRPr="00B07B0D" w14:paraId="723C8CB8" w14:textId="77777777" w:rsidTr="005C23ED">
        <w:trPr>
          <w:trHeight w:val="69"/>
          <w:jc w:val="center"/>
        </w:trPr>
        <w:tc>
          <w:tcPr>
            <w:tcW w:w="523" w:type="pct"/>
            <w:vMerge/>
          </w:tcPr>
          <w:p w14:paraId="6399235A"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04EE3254" w14:textId="0B1AE805" w:rsidR="00CB1050" w:rsidRPr="00B07B0D" w:rsidRDefault="00CB1050" w:rsidP="008766FC">
            <w:pPr>
              <w:rPr>
                <w:rFonts w:ascii="Times New Roman" w:hAnsi="Times New Roman" w:cs="Times New Roman"/>
                <w:sz w:val="20"/>
                <w:szCs w:val="20"/>
                <w:lang w:val="en-US"/>
              </w:rPr>
            </w:pPr>
            <w:r w:rsidRPr="00B07B0D">
              <w:rPr>
                <w:rFonts w:ascii="Times New Roman" w:hAnsi="Times New Roman" w:cs="Times New Roman"/>
                <w:sz w:val="20"/>
                <w:szCs w:val="20"/>
                <w:lang w:val="en-US"/>
              </w:rPr>
              <w:t>INT_AUD</w:t>
            </w:r>
          </w:p>
        </w:tc>
        <w:tc>
          <w:tcPr>
            <w:tcW w:w="1764" w:type="pct"/>
          </w:tcPr>
          <w:p w14:paraId="410D72F1" w14:textId="5B8334B0" w:rsidR="00CB1050" w:rsidRPr="00B07B0D" w:rsidRDefault="00CB1050" w:rsidP="00844B0F">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0.019</w:t>
            </w:r>
          </w:p>
        </w:tc>
        <w:tc>
          <w:tcPr>
            <w:tcW w:w="569" w:type="pct"/>
          </w:tcPr>
          <w:p w14:paraId="3BFF6AC2" w14:textId="53893AFF"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1.011</w:t>
            </w:r>
          </w:p>
        </w:tc>
        <w:tc>
          <w:tcPr>
            <w:tcW w:w="794" w:type="pct"/>
          </w:tcPr>
          <w:p w14:paraId="50AF5AD5" w14:textId="52A93A87"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0.312</w:t>
            </w:r>
          </w:p>
        </w:tc>
      </w:tr>
      <w:tr w:rsidR="00107B20" w:rsidRPr="00B07B0D" w14:paraId="0794706B" w14:textId="77777777" w:rsidTr="005C23ED">
        <w:trPr>
          <w:trHeight w:val="64"/>
          <w:jc w:val="center"/>
        </w:trPr>
        <w:tc>
          <w:tcPr>
            <w:tcW w:w="523" w:type="pct"/>
            <w:vMerge/>
          </w:tcPr>
          <w:p w14:paraId="17EF6BE7"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570B3689" w14:textId="2243AC75" w:rsidR="00CB1050" w:rsidRPr="00B07B0D" w:rsidRDefault="00CB1050" w:rsidP="008766FC">
            <w:pPr>
              <w:rPr>
                <w:rFonts w:ascii="Times New Roman" w:hAnsi="Times New Roman" w:cs="Times New Roman"/>
                <w:sz w:val="20"/>
                <w:szCs w:val="20"/>
                <w:lang w:val="en-US"/>
              </w:rPr>
            </w:pPr>
            <w:r w:rsidRPr="00B07B0D">
              <w:rPr>
                <w:rFonts w:ascii="Times New Roman" w:hAnsi="Times New Roman" w:cs="Times New Roman"/>
                <w:sz w:val="20"/>
                <w:szCs w:val="20"/>
                <w:lang w:val="en-US"/>
              </w:rPr>
              <w:t>SIZE</w:t>
            </w:r>
          </w:p>
        </w:tc>
        <w:tc>
          <w:tcPr>
            <w:tcW w:w="1764" w:type="pct"/>
          </w:tcPr>
          <w:p w14:paraId="643819C2" w14:textId="41372A7B" w:rsidR="00CB1050" w:rsidRPr="00B07B0D" w:rsidRDefault="00CB1050" w:rsidP="00844B0F">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0.683</w:t>
            </w:r>
          </w:p>
        </w:tc>
        <w:tc>
          <w:tcPr>
            <w:tcW w:w="569" w:type="pct"/>
          </w:tcPr>
          <w:p w14:paraId="57410835" w14:textId="7C657790"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35.634</w:t>
            </w:r>
          </w:p>
        </w:tc>
        <w:tc>
          <w:tcPr>
            <w:tcW w:w="794" w:type="pct"/>
          </w:tcPr>
          <w:p w14:paraId="74E4C632" w14:textId="5BA8C912"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&lt;0.001</w:t>
            </w:r>
          </w:p>
        </w:tc>
      </w:tr>
      <w:tr w:rsidR="00107B20" w:rsidRPr="00B07B0D" w14:paraId="5CCD519A" w14:textId="77777777" w:rsidTr="005C23ED">
        <w:trPr>
          <w:trHeight w:val="64"/>
          <w:jc w:val="center"/>
        </w:trPr>
        <w:tc>
          <w:tcPr>
            <w:tcW w:w="523" w:type="pct"/>
            <w:vMerge w:val="restart"/>
          </w:tcPr>
          <w:p w14:paraId="2B704935" w14:textId="2C3CE9E0"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2022</w:t>
            </w:r>
          </w:p>
        </w:tc>
        <w:tc>
          <w:tcPr>
            <w:tcW w:w="1349" w:type="pct"/>
            <w:gridSpan w:val="2"/>
          </w:tcPr>
          <w:p w14:paraId="0DB53E1D" w14:textId="37E5032D" w:rsidR="00CB1050" w:rsidRPr="00B07B0D" w:rsidRDefault="00CB1050" w:rsidP="00CB1050">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(Constant)</w:t>
            </w:r>
          </w:p>
        </w:tc>
        <w:tc>
          <w:tcPr>
            <w:tcW w:w="1764" w:type="pct"/>
          </w:tcPr>
          <w:p w14:paraId="7D1C996D" w14:textId="77777777" w:rsidR="00CB1050" w:rsidRPr="00B07B0D" w:rsidRDefault="00CB1050" w:rsidP="00844B0F">
            <w:pPr>
              <w:jc w:val="right"/>
              <w:rPr>
                <w:rFonts w:ascii="Times New Roman" w:hAnsi="Times New Roman" w:cs="Times New Roman"/>
                <w:sz w:val="20"/>
                <w:szCs w:val="20"/>
                <w:lang w:val="en-US"/>
              </w:rPr>
            </w:pPr>
          </w:p>
        </w:tc>
        <w:tc>
          <w:tcPr>
            <w:tcW w:w="569" w:type="pct"/>
          </w:tcPr>
          <w:p w14:paraId="4D36E1F5" w14:textId="65EAD5BA"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-1.580</w:t>
            </w:r>
          </w:p>
        </w:tc>
        <w:tc>
          <w:tcPr>
            <w:tcW w:w="794" w:type="pct"/>
          </w:tcPr>
          <w:p w14:paraId="4D875B7B" w14:textId="7D162CFD"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0.115</w:t>
            </w:r>
          </w:p>
        </w:tc>
      </w:tr>
      <w:tr w:rsidR="00107B20" w:rsidRPr="00B07B0D" w14:paraId="58342821" w14:textId="77777777" w:rsidTr="005C23ED">
        <w:trPr>
          <w:trHeight w:val="64"/>
          <w:jc w:val="center"/>
        </w:trPr>
        <w:tc>
          <w:tcPr>
            <w:tcW w:w="523" w:type="pct"/>
            <w:vMerge/>
          </w:tcPr>
          <w:p w14:paraId="4BC06B91"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2FEB85B9" w14:textId="4863B124" w:rsidR="00CB1050" w:rsidRPr="00B07B0D" w:rsidRDefault="00CB1050" w:rsidP="00CB1050">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BD_IND</w:t>
            </w:r>
          </w:p>
        </w:tc>
        <w:tc>
          <w:tcPr>
            <w:tcW w:w="1764" w:type="pct"/>
          </w:tcPr>
          <w:p w14:paraId="7975E132" w14:textId="790A8CAB" w:rsidR="00CB1050" w:rsidRPr="00B07B0D" w:rsidRDefault="00CB1050" w:rsidP="00844B0F">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0.058</w:t>
            </w:r>
          </w:p>
        </w:tc>
        <w:tc>
          <w:tcPr>
            <w:tcW w:w="569" w:type="pct"/>
          </w:tcPr>
          <w:p w14:paraId="3A4D36F2" w14:textId="24C36CE4"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1.835</w:t>
            </w:r>
          </w:p>
        </w:tc>
        <w:tc>
          <w:tcPr>
            <w:tcW w:w="794" w:type="pct"/>
          </w:tcPr>
          <w:p w14:paraId="3F41BE73" w14:textId="7835288A"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0.067</w:t>
            </w:r>
          </w:p>
        </w:tc>
      </w:tr>
      <w:tr w:rsidR="00107B20" w:rsidRPr="00B07B0D" w14:paraId="2AF9748C" w14:textId="77777777" w:rsidTr="005C23ED">
        <w:trPr>
          <w:trHeight w:val="64"/>
          <w:jc w:val="center"/>
        </w:trPr>
        <w:tc>
          <w:tcPr>
            <w:tcW w:w="523" w:type="pct"/>
            <w:vMerge/>
          </w:tcPr>
          <w:p w14:paraId="63F45879"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2FF2F5AC" w14:textId="338F9476" w:rsidR="00CB1050" w:rsidRPr="00B07B0D" w:rsidRDefault="00CB1050" w:rsidP="00CB1050">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BD_SIZE</w:t>
            </w:r>
          </w:p>
        </w:tc>
        <w:tc>
          <w:tcPr>
            <w:tcW w:w="1764" w:type="pct"/>
          </w:tcPr>
          <w:p w14:paraId="16C7878D" w14:textId="4C597A5F" w:rsidR="00CB1050" w:rsidRPr="00B07B0D" w:rsidRDefault="00CB1050" w:rsidP="00844B0F">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0.220</w:t>
            </w:r>
          </w:p>
        </w:tc>
        <w:tc>
          <w:tcPr>
            <w:tcW w:w="569" w:type="pct"/>
          </w:tcPr>
          <w:p w14:paraId="7FA7EB4F" w14:textId="1FB87624"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8.623</w:t>
            </w:r>
          </w:p>
        </w:tc>
        <w:tc>
          <w:tcPr>
            <w:tcW w:w="794" w:type="pct"/>
          </w:tcPr>
          <w:p w14:paraId="67FB33A7" w14:textId="2300EE39"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&lt;0.001</w:t>
            </w:r>
          </w:p>
        </w:tc>
      </w:tr>
      <w:tr w:rsidR="00107B20" w:rsidRPr="00B07B0D" w14:paraId="657932BF" w14:textId="77777777" w:rsidTr="005C23ED">
        <w:trPr>
          <w:trHeight w:val="64"/>
          <w:jc w:val="center"/>
        </w:trPr>
        <w:tc>
          <w:tcPr>
            <w:tcW w:w="523" w:type="pct"/>
            <w:vMerge/>
          </w:tcPr>
          <w:p w14:paraId="3EF8E165"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6CEBC4EB" w14:textId="263F394D" w:rsidR="00CB1050" w:rsidRPr="00B07B0D" w:rsidRDefault="00CB1050" w:rsidP="00CB1050">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NON_EXEC</w:t>
            </w:r>
          </w:p>
        </w:tc>
        <w:tc>
          <w:tcPr>
            <w:tcW w:w="1764" w:type="pct"/>
          </w:tcPr>
          <w:p w14:paraId="2BEE546C" w14:textId="2961904B" w:rsidR="00CB1050" w:rsidRPr="00B07B0D" w:rsidRDefault="00CB1050" w:rsidP="00844B0F">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-0.013</w:t>
            </w:r>
          </w:p>
        </w:tc>
        <w:tc>
          <w:tcPr>
            <w:tcW w:w="569" w:type="pct"/>
          </w:tcPr>
          <w:p w14:paraId="7129802F" w14:textId="1EE96883"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-0.469</w:t>
            </w:r>
          </w:p>
        </w:tc>
        <w:tc>
          <w:tcPr>
            <w:tcW w:w="794" w:type="pct"/>
          </w:tcPr>
          <w:p w14:paraId="602779D1" w14:textId="7B5B2634"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0.639</w:t>
            </w:r>
          </w:p>
        </w:tc>
      </w:tr>
      <w:tr w:rsidR="00107B20" w:rsidRPr="00B07B0D" w14:paraId="1BDAF0A9" w14:textId="77777777" w:rsidTr="005C23ED">
        <w:trPr>
          <w:trHeight w:val="64"/>
          <w:jc w:val="center"/>
        </w:trPr>
        <w:tc>
          <w:tcPr>
            <w:tcW w:w="523" w:type="pct"/>
            <w:vMerge/>
          </w:tcPr>
          <w:p w14:paraId="759CB1D5"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175F4087" w14:textId="62860EEB" w:rsidR="00CB1050" w:rsidRPr="00B07B0D" w:rsidRDefault="00CB1050" w:rsidP="00CB1050">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BD_ATT</w:t>
            </w:r>
          </w:p>
        </w:tc>
        <w:tc>
          <w:tcPr>
            <w:tcW w:w="1764" w:type="pct"/>
          </w:tcPr>
          <w:p w14:paraId="3C3B302B" w14:textId="72D59711" w:rsidR="00CB1050" w:rsidRPr="00B07B0D" w:rsidRDefault="00CB1050" w:rsidP="00844B0F">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0.021</w:t>
            </w:r>
          </w:p>
        </w:tc>
        <w:tc>
          <w:tcPr>
            <w:tcW w:w="569" w:type="pct"/>
          </w:tcPr>
          <w:p w14:paraId="45B3B325" w14:textId="071162E3"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0.853</w:t>
            </w:r>
          </w:p>
        </w:tc>
        <w:tc>
          <w:tcPr>
            <w:tcW w:w="794" w:type="pct"/>
          </w:tcPr>
          <w:p w14:paraId="19EC5DE6" w14:textId="410B4DBF"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0.394</w:t>
            </w:r>
          </w:p>
        </w:tc>
      </w:tr>
      <w:tr w:rsidR="00107B20" w:rsidRPr="00B07B0D" w14:paraId="4FFD9613" w14:textId="77777777" w:rsidTr="005C23ED">
        <w:trPr>
          <w:trHeight w:val="64"/>
          <w:jc w:val="center"/>
        </w:trPr>
        <w:tc>
          <w:tcPr>
            <w:tcW w:w="523" w:type="pct"/>
            <w:vMerge/>
          </w:tcPr>
          <w:p w14:paraId="394F4E66"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327F7214" w14:textId="4BF7464E" w:rsidR="00CB1050" w:rsidRPr="00B07B0D" w:rsidRDefault="00CB1050" w:rsidP="00CB1050">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GEN_BD</w:t>
            </w:r>
          </w:p>
        </w:tc>
        <w:tc>
          <w:tcPr>
            <w:tcW w:w="1764" w:type="pct"/>
          </w:tcPr>
          <w:p w14:paraId="5E4826A1" w14:textId="69B26376" w:rsidR="00CB1050" w:rsidRPr="00B07B0D" w:rsidRDefault="00CB1050" w:rsidP="00844B0F">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-0.018</w:t>
            </w:r>
          </w:p>
        </w:tc>
        <w:tc>
          <w:tcPr>
            <w:tcW w:w="569" w:type="pct"/>
          </w:tcPr>
          <w:p w14:paraId="10FEE5A1" w14:textId="7B9EA637"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-0.742</w:t>
            </w:r>
          </w:p>
        </w:tc>
        <w:tc>
          <w:tcPr>
            <w:tcW w:w="794" w:type="pct"/>
          </w:tcPr>
          <w:p w14:paraId="1DBBFDA0" w14:textId="105B91F5"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0.458</w:t>
            </w:r>
          </w:p>
        </w:tc>
      </w:tr>
      <w:tr w:rsidR="00107B20" w:rsidRPr="00B07B0D" w14:paraId="1E649C35" w14:textId="77777777" w:rsidTr="005C23ED">
        <w:trPr>
          <w:trHeight w:val="64"/>
          <w:jc w:val="center"/>
        </w:trPr>
        <w:tc>
          <w:tcPr>
            <w:tcW w:w="523" w:type="pct"/>
            <w:vMerge/>
          </w:tcPr>
          <w:p w14:paraId="4E734486"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3718988E" w14:textId="6850FE9E" w:rsidR="00CB1050" w:rsidRPr="00B07B0D" w:rsidRDefault="00CB1050" w:rsidP="00CB1050">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GEN_EXEC</w:t>
            </w:r>
          </w:p>
        </w:tc>
        <w:tc>
          <w:tcPr>
            <w:tcW w:w="1764" w:type="pct"/>
          </w:tcPr>
          <w:p w14:paraId="45A14B30" w14:textId="23FB0ECA" w:rsidR="00CB1050" w:rsidRPr="00B07B0D" w:rsidRDefault="00CB1050" w:rsidP="00844B0F">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0.024</w:t>
            </w:r>
          </w:p>
        </w:tc>
        <w:tc>
          <w:tcPr>
            <w:tcW w:w="569" w:type="pct"/>
          </w:tcPr>
          <w:p w14:paraId="57CE54D7" w14:textId="71732A5B"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1.005</w:t>
            </w:r>
          </w:p>
        </w:tc>
        <w:tc>
          <w:tcPr>
            <w:tcW w:w="794" w:type="pct"/>
          </w:tcPr>
          <w:p w14:paraId="2199A53B" w14:textId="6A2CD021"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0.315</w:t>
            </w:r>
          </w:p>
        </w:tc>
      </w:tr>
      <w:tr w:rsidR="00107B20" w:rsidRPr="00B07B0D" w14:paraId="0C4CF493" w14:textId="77777777" w:rsidTr="005C23ED">
        <w:trPr>
          <w:trHeight w:val="64"/>
          <w:jc w:val="center"/>
        </w:trPr>
        <w:tc>
          <w:tcPr>
            <w:tcW w:w="523" w:type="pct"/>
            <w:vMerge/>
          </w:tcPr>
          <w:p w14:paraId="14C95394"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0A9822B2" w14:textId="0644DCE7" w:rsidR="00CB1050" w:rsidRPr="00B07B0D" w:rsidRDefault="00CB1050" w:rsidP="00CB1050">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AUD_EXP</w:t>
            </w:r>
          </w:p>
        </w:tc>
        <w:tc>
          <w:tcPr>
            <w:tcW w:w="1764" w:type="pct"/>
          </w:tcPr>
          <w:p w14:paraId="0977B68C" w14:textId="5439718E" w:rsidR="00CB1050" w:rsidRPr="00B07B0D" w:rsidRDefault="00CB1050" w:rsidP="00844B0F">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-0.023</w:t>
            </w:r>
          </w:p>
        </w:tc>
        <w:tc>
          <w:tcPr>
            <w:tcW w:w="569" w:type="pct"/>
          </w:tcPr>
          <w:p w14:paraId="50A2CEF5" w14:textId="3AC6402F"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-0.946</w:t>
            </w:r>
          </w:p>
        </w:tc>
        <w:tc>
          <w:tcPr>
            <w:tcW w:w="794" w:type="pct"/>
          </w:tcPr>
          <w:p w14:paraId="10EA6C64" w14:textId="62991E9E"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0.344</w:t>
            </w:r>
          </w:p>
        </w:tc>
      </w:tr>
      <w:tr w:rsidR="00107B20" w:rsidRPr="00B07B0D" w14:paraId="5007E1D7" w14:textId="77777777" w:rsidTr="005C23ED">
        <w:trPr>
          <w:trHeight w:val="64"/>
          <w:jc w:val="center"/>
        </w:trPr>
        <w:tc>
          <w:tcPr>
            <w:tcW w:w="523" w:type="pct"/>
            <w:vMerge/>
          </w:tcPr>
          <w:p w14:paraId="7F4F6060"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23312CD3" w14:textId="1ADB33CE" w:rsidR="00CB1050" w:rsidRPr="00B07B0D" w:rsidRDefault="00CB1050" w:rsidP="00CB1050">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AUD_NONEX</w:t>
            </w:r>
          </w:p>
        </w:tc>
        <w:tc>
          <w:tcPr>
            <w:tcW w:w="1764" w:type="pct"/>
          </w:tcPr>
          <w:p w14:paraId="30916E80" w14:textId="2738818B" w:rsidR="00CB1050" w:rsidRPr="00B07B0D" w:rsidRDefault="00CB1050" w:rsidP="00844B0F">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0.003</w:t>
            </w:r>
          </w:p>
        </w:tc>
        <w:tc>
          <w:tcPr>
            <w:tcW w:w="569" w:type="pct"/>
          </w:tcPr>
          <w:p w14:paraId="5648E1CA" w14:textId="3DCE8BC9"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0.121</w:t>
            </w:r>
          </w:p>
        </w:tc>
        <w:tc>
          <w:tcPr>
            <w:tcW w:w="794" w:type="pct"/>
          </w:tcPr>
          <w:p w14:paraId="450AF28D" w14:textId="37D57324"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0.904</w:t>
            </w:r>
          </w:p>
        </w:tc>
      </w:tr>
      <w:tr w:rsidR="00107B20" w:rsidRPr="00B07B0D" w14:paraId="7B89202A" w14:textId="77777777" w:rsidTr="005C23ED">
        <w:trPr>
          <w:trHeight w:val="64"/>
          <w:jc w:val="center"/>
        </w:trPr>
        <w:tc>
          <w:tcPr>
            <w:tcW w:w="523" w:type="pct"/>
            <w:vMerge/>
          </w:tcPr>
          <w:p w14:paraId="596FCE0B"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31406D24" w14:textId="665F2DEA" w:rsidR="00CB1050" w:rsidRPr="00B07B0D" w:rsidRDefault="00CB1050" w:rsidP="00CB1050">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AUD_IND</w:t>
            </w:r>
          </w:p>
        </w:tc>
        <w:tc>
          <w:tcPr>
            <w:tcW w:w="1764" w:type="pct"/>
          </w:tcPr>
          <w:p w14:paraId="0FA7BC32" w14:textId="12AEECBF" w:rsidR="00CB1050" w:rsidRPr="00B07B0D" w:rsidRDefault="00CB1050" w:rsidP="00844B0F">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0.018</w:t>
            </w:r>
          </w:p>
        </w:tc>
        <w:tc>
          <w:tcPr>
            <w:tcW w:w="569" w:type="pct"/>
          </w:tcPr>
          <w:p w14:paraId="30EB93E5" w14:textId="5BBD057F"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0.564</w:t>
            </w:r>
          </w:p>
        </w:tc>
        <w:tc>
          <w:tcPr>
            <w:tcW w:w="794" w:type="pct"/>
          </w:tcPr>
          <w:p w14:paraId="589587D7" w14:textId="7D88B61F"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0.573</w:t>
            </w:r>
          </w:p>
        </w:tc>
      </w:tr>
      <w:tr w:rsidR="00107B20" w:rsidRPr="00B07B0D" w14:paraId="38929A0A" w14:textId="77777777" w:rsidTr="005C23ED">
        <w:trPr>
          <w:trHeight w:val="64"/>
          <w:jc w:val="center"/>
        </w:trPr>
        <w:tc>
          <w:tcPr>
            <w:tcW w:w="523" w:type="pct"/>
            <w:vMerge/>
          </w:tcPr>
          <w:p w14:paraId="56A3DC06"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673CBA41" w14:textId="6C71602B" w:rsidR="00CB1050" w:rsidRPr="00B07B0D" w:rsidRDefault="00CB1050" w:rsidP="00CB1050">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INT_AUD</w:t>
            </w:r>
          </w:p>
        </w:tc>
        <w:tc>
          <w:tcPr>
            <w:tcW w:w="1764" w:type="pct"/>
          </w:tcPr>
          <w:p w14:paraId="1FC234EB" w14:textId="00BFAD11" w:rsidR="00CB1050" w:rsidRPr="00B07B0D" w:rsidRDefault="00CB1050" w:rsidP="00844B0F">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0.017</w:t>
            </w:r>
          </w:p>
        </w:tc>
        <w:tc>
          <w:tcPr>
            <w:tcW w:w="569" w:type="pct"/>
          </w:tcPr>
          <w:p w14:paraId="7874E506" w14:textId="545F0492"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0.694</w:t>
            </w:r>
          </w:p>
        </w:tc>
        <w:tc>
          <w:tcPr>
            <w:tcW w:w="794" w:type="pct"/>
          </w:tcPr>
          <w:p w14:paraId="37830639" w14:textId="5C3F3300"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0.488</w:t>
            </w:r>
          </w:p>
        </w:tc>
      </w:tr>
      <w:tr w:rsidR="00107B20" w:rsidRPr="00B07B0D" w14:paraId="13587792" w14:textId="77777777" w:rsidTr="005C23ED">
        <w:trPr>
          <w:trHeight w:val="64"/>
          <w:jc w:val="center"/>
        </w:trPr>
        <w:tc>
          <w:tcPr>
            <w:tcW w:w="523" w:type="pct"/>
            <w:vMerge/>
          </w:tcPr>
          <w:p w14:paraId="6B2C4999"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1D1055DD" w14:textId="54833C9E" w:rsidR="00CB1050" w:rsidRPr="00B07B0D" w:rsidRDefault="00CB1050" w:rsidP="00CB1050">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SIZE</w:t>
            </w:r>
          </w:p>
        </w:tc>
        <w:tc>
          <w:tcPr>
            <w:tcW w:w="1764" w:type="pct"/>
          </w:tcPr>
          <w:p w14:paraId="16BACCB0" w14:textId="7F9463C2" w:rsidR="00CB1050" w:rsidRPr="00B07B0D" w:rsidRDefault="00CB1050" w:rsidP="00844B0F">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0.645</w:t>
            </w:r>
          </w:p>
        </w:tc>
        <w:tc>
          <w:tcPr>
            <w:tcW w:w="569" w:type="pct"/>
          </w:tcPr>
          <w:p w14:paraId="174B47C5" w14:textId="7AC404BB"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25.803</w:t>
            </w:r>
          </w:p>
        </w:tc>
        <w:tc>
          <w:tcPr>
            <w:tcW w:w="794" w:type="pct"/>
          </w:tcPr>
          <w:p w14:paraId="3E0CFD26" w14:textId="4CF6727E"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&lt;0.001</w:t>
            </w:r>
          </w:p>
        </w:tc>
      </w:tr>
      <w:tr w:rsidR="00107B20" w:rsidRPr="00B07B0D" w14:paraId="293C2EC8" w14:textId="77777777" w:rsidTr="005C23ED">
        <w:trPr>
          <w:trHeight w:val="212"/>
          <w:jc w:val="center"/>
        </w:trPr>
        <w:tc>
          <w:tcPr>
            <w:tcW w:w="523" w:type="pct"/>
            <w:vMerge w:val="restart"/>
          </w:tcPr>
          <w:p w14:paraId="7689D7C5" w14:textId="1DD06EB8"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2023</w:t>
            </w:r>
          </w:p>
          <w:p w14:paraId="21279D40" w14:textId="794EDE8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07C85D52" w14:textId="77777777"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(Constant)</w:t>
            </w:r>
          </w:p>
        </w:tc>
        <w:tc>
          <w:tcPr>
            <w:tcW w:w="1764" w:type="pct"/>
          </w:tcPr>
          <w:p w14:paraId="2CB0C7B1" w14:textId="77777777" w:rsidR="00CB1050" w:rsidRPr="00B07B0D" w:rsidRDefault="00CB1050" w:rsidP="00844B0F">
            <w:pPr>
              <w:ind w:left="30" w:right="40"/>
              <w:jc w:val="right"/>
              <w:rPr>
                <w:rFonts w:ascii="Times New Roman" w:hAnsi="Times New Roman" w:cs="Times New Roman"/>
                <w:sz w:val="20"/>
                <w:szCs w:val="20"/>
                <w:lang w:val="en-US"/>
              </w:rPr>
            </w:pPr>
          </w:p>
        </w:tc>
        <w:tc>
          <w:tcPr>
            <w:tcW w:w="569" w:type="pct"/>
          </w:tcPr>
          <w:p w14:paraId="14E98DEC" w14:textId="04FEFD46"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-0.487</w:t>
            </w:r>
          </w:p>
        </w:tc>
        <w:tc>
          <w:tcPr>
            <w:tcW w:w="794" w:type="pct"/>
          </w:tcPr>
          <w:p w14:paraId="5EF6482F" w14:textId="32BE6DA9"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0.627</w:t>
            </w:r>
          </w:p>
        </w:tc>
      </w:tr>
      <w:tr w:rsidR="00107B20" w:rsidRPr="00B07B0D" w14:paraId="645729D5" w14:textId="77777777" w:rsidTr="005C23ED">
        <w:trPr>
          <w:trHeight w:val="212"/>
          <w:jc w:val="center"/>
        </w:trPr>
        <w:tc>
          <w:tcPr>
            <w:tcW w:w="523" w:type="pct"/>
            <w:vMerge/>
          </w:tcPr>
          <w:p w14:paraId="097218D2"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792ED946" w14:textId="04F0BB5B"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BD_IND</w:t>
            </w:r>
          </w:p>
        </w:tc>
        <w:tc>
          <w:tcPr>
            <w:tcW w:w="1764" w:type="pct"/>
          </w:tcPr>
          <w:p w14:paraId="155239FC" w14:textId="119842CF"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0.084</w:t>
            </w:r>
          </w:p>
        </w:tc>
        <w:tc>
          <w:tcPr>
            <w:tcW w:w="569" w:type="pct"/>
          </w:tcPr>
          <w:p w14:paraId="0E872D3A" w14:textId="1947C051"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2.050</w:t>
            </w:r>
          </w:p>
        </w:tc>
        <w:tc>
          <w:tcPr>
            <w:tcW w:w="794" w:type="pct"/>
          </w:tcPr>
          <w:p w14:paraId="72DEB1C8" w14:textId="70A990FB"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0.041</w:t>
            </w:r>
          </w:p>
        </w:tc>
      </w:tr>
      <w:tr w:rsidR="00107B20" w:rsidRPr="00B07B0D" w14:paraId="6C7833E9" w14:textId="77777777" w:rsidTr="005C23ED">
        <w:trPr>
          <w:trHeight w:val="212"/>
          <w:jc w:val="center"/>
        </w:trPr>
        <w:tc>
          <w:tcPr>
            <w:tcW w:w="523" w:type="pct"/>
            <w:vMerge/>
          </w:tcPr>
          <w:p w14:paraId="28CD2DBC"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6260607C" w14:textId="7C9C8988"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BD_SIZE</w:t>
            </w:r>
          </w:p>
        </w:tc>
        <w:tc>
          <w:tcPr>
            <w:tcW w:w="1764" w:type="pct"/>
          </w:tcPr>
          <w:p w14:paraId="26625110" w14:textId="318EEDED"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0.196</w:t>
            </w:r>
          </w:p>
        </w:tc>
        <w:tc>
          <w:tcPr>
            <w:tcW w:w="569" w:type="pct"/>
          </w:tcPr>
          <w:p w14:paraId="24CC8863" w14:textId="534A616E"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5.835</w:t>
            </w:r>
          </w:p>
        </w:tc>
        <w:tc>
          <w:tcPr>
            <w:tcW w:w="794" w:type="pct"/>
          </w:tcPr>
          <w:p w14:paraId="559912EF" w14:textId="6788ABF9"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&lt;0.001</w:t>
            </w:r>
          </w:p>
        </w:tc>
      </w:tr>
      <w:tr w:rsidR="00107B20" w:rsidRPr="00B07B0D" w14:paraId="73DCCB4D" w14:textId="77777777" w:rsidTr="005C23ED">
        <w:trPr>
          <w:trHeight w:val="212"/>
          <w:jc w:val="center"/>
        </w:trPr>
        <w:tc>
          <w:tcPr>
            <w:tcW w:w="523" w:type="pct"/>
            <w:vMerge/>
          </w:tcPr>
          <w:p w14:paraId="5A6C70B9"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0D2D4572" w14:textId="0B12D0B3"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NON_EXEC</w:t>
            </w:r>
          </w:p>
        </w:tc>
        <w:tc>
          <w:tcPr>
            <w:tcW w:w="1764" w:type="pct"/>
          </w:tcPr>
          <w:p w14:paraId="1CCDF0E5" w14:textId="5B70D1C1"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-0.020</w:t>
            </w:r>
          </w:p>
        </w:tc>
        <w:tc>
          <w:tcPr>
            <w:tcW w:w="569" w:type="pct"/>
          </w:tcPr>
          <w:p w14:paraId="239F49CD" w14:textId="45471675"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-0.580</w:t>
            </w:r>
          </w:p>
        </w:tc>
        <w:tc>
          <w:tcPr>
            <w:tcW w:w="794" w:type="pct"/>
          </w:tcPr>
          <w:p w14:paraId="30DEF153" w14:textId="3CECC889"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0.562</w:t>
            </w:r>
          </w:p>
        </w:tc>
      </w:tr>
      <w:tr w:rsidR="00107B20" w:rsidRPr="00B07B0D" w14:paraId="14F14DE6" w14:textId="77777777" w:rsidTr="005C23ED">
        <w:trPr>
          <w:trHeight w:val="212"/>
          <w:jc w:val="center"/>
        </w:trPr>
        <w:tc>
          <w:tcPr>
            <w:tcW w:w="523" w:type="pct"/>
            <w:vMerge/>
          </w:tcPr>
          <w:p w14:paraId="7870341E"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038C5984" w14:textId="1BA6C52F"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BD_ATT</w:t>
            </w:r>
          </w:p>
        </w:tc>
        <w:tc>
          <w:tcPr>
            <w:tcW w:w="1764" w:type="pct"/>
          </w:tcPr>
          <w:p w14:paraId="3A52BEBF" w14:textId="060A7D2D"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-0.005</w:t>
            </w:r>
          </w:p>
        </w:tc>
        <w:tc>
          <w:tcPr>
            <w:tcW w:w="569" w:type="pct"/>
          </w:tcPr>
          <w:p w14:paraId="136C7C28" w14:textId="533570E7"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-0.143</w:t>
            </w:r>
          </w:p>
        </w:tc>
        <w:tc>
          <w:tcPr>
            <w:tcW w:w="794" w:type="pct"/>
          </w:tcPr>
          <w:p w14:paraId="43E3CB0B" w14:textId="62D5FAB2"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0.886</w:t>
            </w:r>
          </w:p>
        </w:tc>
      </w:tr>
      <w:tr w:rsidR="00107B20" w:rsidRPr="00B07B0D" w14:paraId="0AE8EA32" w14:textId="77777777" w:rsidTr="005C23ED">
        <w:trPr>
          <w:trHeight w:val="212"/>
          <w:jc w:val="center"/>
        </w:trPr>
        <w:tc>
          <w:tcPr>
            <w:tcW w:w="523" w:type="pct"/>
            <w:vMerge/>
          </w:tcPr>
          <w:p w14:paraId="08462F6C"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079604ED" w14:textId="32EBC2FA"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GEN_BD</w:t>
            </w:r>
          </w:p>
        </w:tc>
        <w:tc>
          <w:tcPr>
            <w:tcW w:w="1764" w:type="pct"/>
          </w:tcPr>
          <w:p w14:paraId="21479E8A" w14:textId="122BD1FA"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-0.022</w:t>
            </w:r>
          </w:p>
        </w:tc>
        <w:tc>
          <w:tcPr>
            <w:tcW w:w="569" w:type="pct"/>
          </w:tcPr>
          <w:p w14:paraId="5399CE93" w14:textId="4439250F"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-0.686</w:t>
            </w:r>
          </w:p>
        </w:tc>
        <w:tc>
          <w:tcPr>
            <w:tcW w:w="794" w:type="pct"/>
          </w:tcPr>
          <w:p w14:paraId="4E96D151" w14:textId="45FF7114"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0.493</w:t>
            </w:r>
          </w:p>
        </w:tc>
      </w:tr>
      <w:tr w:rsidR="00107B20" w:rsidRPr="00B07B0D" w14:paraId="652868BB" w14:textId="77777777" w:rsidTr="005C23ED">
        <w:trPr>
          <w:trHeight w:val="212"/>
          <w:jc w:val="center"/>
        </w:trPr>
        <w:tc>
          <w:tcPr>
            <w:tcW w:w="523" w:type="pct"/>
            <w:vMerge/>
          </w:tcPr>
          <w:p w14:paraId="246D2482"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0A1E4661" w14:textId="3B8B881A"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GEN_EXEC</w:t>
            </w:r>
          </w:p>
        </w:tc>
        <w:tc>
          <w:tcPr>
            <w:tcW w:w="1764" w:type="pct"/>
          </w:tcPr>
          <w:p w14:paraId="467E9EBA" w14:textId="362316C6"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0.052</w:t>
            </w:r>
          </w:p>
        </w:tc>
        <w:tc>
          <w:tcPr>
            <w:tcW w:w="569" w:type="pct"/>
          </w:tcPr>
          <w:p w14:paraId="029C14D9" w14:textId="77777777"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1.659</w:t>
            </w:r>
          </w:p>
        </w:tc>
        <w:tc>
          <w:tcPr>
            <w:tcW w:w="794" w:type="pct"/>
          </w:tcPr>
          <w:p w14:paraId="38D8830D" w14:textId="73A1F41D"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0.097</w:t>
            </w:r>
          </w:p>
        </w:tc>
      </w:tr>
      <w:tr w:rsidR="00107B20" w:rsidRPr="00B07B0D" w14:paraId="56B3C864" w14:textId="77777777" w:rsidTr="005C23ED">
        <w:trPr>
          <w:trHeight w:val="212"/>
          <w:jc w:val="center"/>
        </w:trPr>
        <w:tc>
          <w:tcPr>
            <w:tcW w:w="523" w:type="pct"/>
            <w:vMerge/>
          </w:tcPr>
          <w:p w14:paraId="5A46CB10"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68E90BB0" w14:textId="279CB748"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AUD_EXP</w:t>
            </w:r>
          </w:p>
        </w:tc>
        <w:tc>
          <w:tcPr>
            <w:tcW w:w="1764" w:type="pct"/>
          </w:tcPr>
          <w:p w14:paraId="4F7247D6" w14:textId="7B2D712F"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-0.004</w:t>
            </w:r>
          </w:p>
        </w:tc>
        <w:tc>
          <w:tcPr>
            <w:tcW w:w="569" w:type="pct"/>
          </w:tcPr>
          <w:p w14:paraId="6E3AC1F8" w14:textId="5F4F93CD"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-0.139</w:t>
            </w:r>
          </w:p>
        </w:tc>
        <w:tc>
          <w:tcPr>
            <w:tcW w:w="794" w:type="pct"/>
          </w:tcPr>
          <w:p w14:paraId="5F303024" w14:textId="271EF34C"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0.889</w:t>
            </w:r>
          </w:p>
        </w:tc>
      </w:tr>
      <w:tr w:rsidR="00107B20" w:rsidRPr="00B07B0D" w14:paraId="3D272195" w14:textId="77777777" w:rsidTr="005C23ED">
        <w:trPr>
          <w:trHeight w:val="212"/>
          <w:jc w:val="center"/>
        </w:trPr>
        <w:tc>
          <w:tcPr>
            <w:tcW w:w="523" w:type="pct"/>
            <w:vMerge/>
          </w:tcPr>
          <w:p w14:paraId="4A1B9312"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1EE60537" w14:textId="477E9836"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AUD_NONEX</w:t>
            </w:r>
          </w:p>
        </w:tc>
        <w:tc>
          <w:tcPr>
            <w:tcW w:w="1764" w:type="pct"/>
          </w:tcPr>
          <w:p w14:paraId="7962C321" w14:textId="195C0E50"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0.030</w:t>
            </w:r>
          </w:p>
        </w:tc>
        <w:tc>
          <w:tcPr>
            <w:tcW w:w="569" w:type="pct"/>
          </w:tcPr>
          <w:p w14:paraId="5CE4B303" w14:textId="0AE61A22"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0.838</w:t>
            </w:r>
          </w:p>
        </w:tc>
        <w:tc>
          <w:tcPr>
            <w:tcW w:w="794" w:type="pct"/>
          </w:tcPr>
          <w:p w14:paraId="4CB454D4" w14:textId="696880B3"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0.402</w:t>
            </w:r>
          </w:p>
        </w:tc>
      </w:tr>
      <w:tr w:rsidR="00107B20" w:rsidRPr="00B07B0D" w14:paraId="645D9D01" w14:textId="77777777" w:rsidTr="005C23ED">
        <w:trPr>
          <w:trHeight w:val="212"/>
          <w:jc w:val="center"/>
        </w:trPr>
        <w:tc>
          <w:tcPr>
            <w:tcW w:w="523" w:type="pct"/>
            <w:vMerge/>
          </w:tcPr>
          <w:p w14:paraId="21401F6E"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340291AF" w14:textId="0CEC8CE3"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AUD_IND</w:t>
            </w:r>
          </w:p>
        </w:tc>
        <w:tc>
          <w:tcPr>
            <w:tcW w:w="1764" w:type="pct"/>
          </w:tcPr>
          <w:p w14:paraId="619BAE6E" w14:textId="7B9DDED0"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0.003</w:t>
            </w:r>
          </w:p>
        </w:tc>
        <w:tc>
          <w:tcPr>
            <w:tcW w:w="569" w:type="pct"/>
          </w:tcPr>
          <w:p w14:paraId="2C7F9338" w14:textId="38854B17"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0.066</w:t>
            </w:r>
          </w:p>
        </w:tc>
        <w:tc>
          <w:tcPr>
            <w:tcW w:w="794" w:type="pct"/>
          </w:tcPr>
          <w:p w14:paraId="353F9C58" w14:textId="691E47EA"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0.947</w:t>
            </w:r>
          </w:p>
        </w:tc>
      </w:tr>
      <w:tr w:rsidR="00107B20" w:rsidRPr="00B07B0D" w14:paraId="564790A1" w14:textId="77777777" w:rsidTr="005C23ED">
        <w:trPr>
          <w:trHeight w:val="212"/>
          <w:jc w:val="center"/>
        </w:trPr>
        <w:tc>
          <w:tcPr>
            <w:tcW w:w="523" w:type="pct"/>
            <w:vMerge/>
          </w:tcPr>
          <w:p w14:paraId="765D22AD"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6E083597" w14:textId="29913D65"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INT_AUD</w:t>
            </w:r>
          </w:p>
        </w:tc>
        <w:tc>
          <w:tcPr>
            <w:tcW w:w="1764" w:type="pct"/>
          </w:tcPr>
          <w:p w14:paraId="4BFCCDAD" w14:textId="7279C3E6"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0.039</w:t>
            </w:r>
          </w:p>
        </w:tc>
        <w:tc>
          <w:tcPr>
            <w:tcW w:w="569" w:type="pct"/>
          </w:tcPr>
          <w:p w14:paraId="3C6B4E60" w14:textId="77777777"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1.254</w:t>
            </w:r>
          </w:p>
        </w:tc>
        <w:tc>
          <w:tcPr>
            <w:tcW w:w="794" w:type="pct"/>
          </w:tcPr>
          <w:p w14:paraId="7BAA7B42" w14:textId="49B9C3A2"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0.210</w:t>
            </w:r>
          </w:p>
        </w:tc>
      </w:tr>
      <w:tr w:rsidR="00107B20" w:rsidRPr="00B07B0D" w14:paraId="3D36EF49" w14:textId="77777777" w:rsidTr="005C23ED">
        <w:trPr>
          <w:trHeight w:val="212"/>
          <w:jc w:val="center"/>
        </w:trPr>
        <w:tc>
          <w:tcPr>
            <w:tcW w:w="523" w:type="pct"/>
            <w:vMerge/>
          </w:tcPr>
          <w:p w14:paraId="128461DC"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7BAAE193" w14:textId="781C8E3C"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SIZE</w:t>
            </w:r>
          </w:p>
        </w:tc>
        <w:tc>
          <w:tcPr>
            <w:tcW w:w="1764" w:type="pct"/>
          </w:tcPr>
          <w:p w14:paraId="659CCE7E" w14:textId="445D55F3"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0.422</w:t>
            </w:r>
          </w:p>
        </w:tc>
        <w:tc>
          <w:tcPr>
            <w:tcW w:w="569" w:type="pct"/>
          </w:tcPr>
          <w:p w14:paraId="4BAAAEFC" w14:textId="77777777"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12.846</w:t>
            </w:r>
          </w:p>
        </w:tc>
        <w:tc>
          <w:tcPr>
            <w:tcW w:w="794" w:type="pct"/>
          </w:tcPr>
          <w:p w14:paraId="6E07D302" w14:textId="7692FFB4"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&lt;0.001</w:t>
            </w:r>
          </w:p>
        </w:tc>
      </w:tr>
      <w:tr w:rsidR="00107B20" w:rsidRPr="00B07B0D" w14:paraId="2867F3D2" w14:textId="77777777" w:rsidTr="005C23ED">
        <w:trPr>
          <w:trHeight w:val="212"/>
          <w:jc w:val="center"/>
        </w:trPr>
        <w:tc>
          <w:tcPr>
            <w:tcW w:w="523" w:type="pct"/>
            <w:vMerge w:val="restart"/>
          </w:tcPr>
          <w:p w14:paraId="7F868B39" w14:textId="77777777"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2024</w:t>
            </w:r>
          </w:p>
        </w:tc>
        <w:tc>
          <w:tcPr>
            <w:tcW w:w="1349" w:type="pct"/>
            <w:gridSpan w:val="2"/>
          </w:tcPr>
          <w:p w14:paraId="67980363" w14:textId="77777777"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(Constant)</w:t>
            </w:r>
          </w:p>
        </w:tc>
        <w:tc>
          <w:tcPr>
            <w:tcW w:w="1764" w:type="pct"/>
          </w:tcPr>
          <w:p w14:paraId="4DC6EC91" w14:textId="640EBCB5" w:rsidR="00CB1050" w:rsidRPr="00B07B0D" w:rsidRDefault="00CB1050" w:rsidP="00844B0F">
            <w:pPr>
              <w:ind w:left="30" w:right="40"/>
              <w:jc w:val="right"/>
              <w:rPr>
                <w:rFonts w:ascii="Times New Roman" w:hAnsi="Times New Roman" w:cs="Times New Roman"/>
                <w:sz w:val="20"/>
                <w:szCs w:val="20"/>
                <w:lang w:val="en-US"/>
              </w:rPr>
            </w:pPr>
          </w:p>
        </w:tc>
        <w:tc>
          <w:tcPr>
            <w:tcW w:w="569" w:type="pct"/>
          </w:tcPr>
          <w:p w14:paraId="636E5D53" w14:textId="77777777"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-1.342</w:t>
            </w:r>
          </w:p>
        </w:tc>
        <w:tc>
          <w:tcPr>
            <w:tcW w:w="794" w:type="pct"/>
          </w:tcPr>
          <w:p w14:paraId="1BFF3383" w14:textId="0068A524"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0.180</w:t>
            </w:r>
          </w:p>
        </w:tc>
      </w:tr>
      <w:tr w:rsidR="00107B20" w:rsidRPr="00B07B0D" w14:paraId="0E076D54" w14:textId="77777777" w:rsidTr="005C23ED">
        <w:trPr>
          <w:trHeight w:val="212"/>
          <w:jc w:val="center"/>
        </w:trPr>
        <w:tc>
          <w:tcPr>
            <w:tcW w:w="523" w:type="pct"/>
            <w:vMerge/>
          </w:tcPr>
          <w:p w14:paraId="6B479A6C"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34FC1107" w14:textId="18053473"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BD_IND</w:t>
            </w:r>
          </w:p>
        </w:tc>
        <w:tc>
          <w:tcPr>
            <w:tcW w:w="1764" w:type="pct"/>
          </w:tcPr>
          <w:p w14:paraId="452613AF" w14:textId="54DB1A17"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00.075</w:t>
            </w:r>
          </w:p>
        </w:tc>
        <w:tc>
          <w:tcPr>
            <w:tcW w:w="569" w:type="pct"/>
          </w:tcPr>
          <w:p w14:paraId="60CDE7C1" w14:textId="77777777"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1.763</w:t>
            </w:r>
          </w:p>
        </w:tc>
        <w:tc>
          <w:tcPr>
            <w:tcW w:w="794" w:type="pct"/>
          </w:tcPr>
          <w:p w14:paraId="5640C661" w14:textId="4C59BFA0"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0.078</w:t>
            </w:r>
          </w:p>
        </w:tc>
      </w:tr>
      <w:tr w:rsidR="00107B20" w:rsidRPr="00B07B0D" w14:paraId="1196B703" w14:textId="77777777" w:rsidTr="005C23ED">
        <w:trPr>
          <w:trHeight w:val="212"/>
          <w:jc w:val="center"/>
        </w:trPr>
        <w:tc>
          <w:tcPr>
            <w:tcW w:w="523" w:type="pct"/>
            <w:vMerge/>
          </w:tcPr>
          <w:p w14:paraId="26D2FD96"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07571DA4" w14:textId="6987CCA4"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BD_SIZE</w:t>
            </w:r>
          </w:p>
        </w:tc>
        <w:tc>
          <w:tcPr>
            <w:tcW w:w="1764" w:type="pct"/>
          </w:tcPr>
          <w:p w14:paraId="3418CE42" w14:textId="71A4A97A"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0.232</w:t>
            </w:r>
          </w:p>
        </w:tc>
        <w:tc>
          <w:tcPr>
            <w:tcW w:w="569" w:type="pct"/>
          </w:tcPr>
          <w:p w14:paraId="36AD7DDD" w14:textId="55069159"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7.079</w:t>
            </w:r>
          </w:p>
        </w:tc>
        <w:tc>
          <w:tcPr>
            <w:tcW w:w="794" w:type="pct"/>
          </w:tcPr>
          <w:p w14:paraId="38C2507E" w14:textId="7802F00D"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&lt;0.001</w:t>
            </w:r>
          </w:p>
        </w:tc>
      </w:tr>
      <w:tr w:rsidR="00107B20" w:rsidRPr="00B07B0D" w14:paraId="4D5D2D6E" w14:textId="77777777" w:rsidTr="005C23ED">
        <w:trPr>
          <w:trHeight w:val="212"/>
          <w:jc w:val="center"/>
        </w:trPr>
        <w:tc>
          <w:tcPr>
            <w:tcW w:w="523" w:type="pct"/>
            <w:vMerge/>
          </w:tcPr>
          <w:p w14:paraId="4DF9ED2E"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080CEA5C" w14:textId="59690529"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NON_EXEC</w:t>
            </w:r>
          </w:p>
        </w:tc>
        <w:tc>
          <w:tcPr>
            <w:tcW w:w="1764" w:type="pct"/>
          </w:tcPr>
          <w:p w14:paraId="72878D6E" w14:textId="442AB619"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-0.035</w:t>
            </w:r>
          </w:p>
        </w:tc>
        <w:tc>
          <w:tcPr>
            <w:tcW w:w="569" w:type="pct"/>
          </w:tcPr>
          <w:p w14:paraId="5549B623" w14:textId="77777777"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-1.004</w:t>
            </w:r>
          </w:p>
        </w:tc>
        <w:tc>
          <w:tcPr>
            <w:tcW w:w="794" w:type="pct"/>
          </w:tcPr>
          <w:p w14:paraId="07DD3C41" w14:textId="24D16E3B"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0.316</w:t>
            </w:r>
          </w:p>
        </w:tc>
      </w:tr>
      <w:tr w:rsidR="00107B20" w:rsidRPr="00B07B0D" w14:paraId="10988EF4" w14:textId="77777777" w:rsidTr="005C23ED">
        <w:trPr>
          <w:trHeight w:val="212"/>
          <w:jc w:val="center"/>
        </w:trPr>
        <w:tc>
          <w:tcPr>
            <w:tcW w:w="523" w:type="pct"/>
            <w:vMerge/>
          </w:tcPr>
          <w:p w14:paraId="0AA4A80F"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69D00BC8" w14:textId="3A566C0E"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BD_ATT</w:t>
            </w:r>
          </w:p>
        </w:tc>
        <w:tc>
          <w:tcPr>
            <w:tcW w:w="1764" w:type="pct"/>
          </w:tcPr>
          <w:p w14:paraId="6D60EAAB" w14:textId="32F6E136"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0.015</w:t>
            </w:r>
          </w:p>
        </w:tc>
        <w:tc>
          <w:tcPr>
            <w:tcW w:w="569" w:type="pct"/>
          </w:tcPr>
          <w:p w14:paraId="3A179B5B" w14:textId="72420BC6"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0.472</w:t>
            </w:r>
          </w:p>
        </w:tc>
        <w:tc>
          <w:tcPr>
            <w:tcW w:w="794" w:type="pct"/>
          </w:tcPr>
          <w:p w14:paraId="36AFC801" w14:textId="411DCE89"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0.637</w:t>
            </w:r>
          </w:p>
        </w:tc>
      </w:tr>
      <w:tr w:rsidR="00107B20" w:rsidRPr="00B07B0D" w14:paraId="2018C146" w14:textId="77777777" w:rsidTr="005C23ED">
        <w:trPr>
          <w:trHeight w:val="212"/>
          <w:jc w:val="center"/>
        </w:trPr>
        <w:tc>
          <w:tcPr>
            <w:tcW w:w="523" w:type="pct"/>
            <w:vMerge/>
          </w:tcPr>
          <w:p w14:paraId="47B0F025"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69F99C8C" w14:textId="569711FA"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GEN_BD</w:t>
            </w:r>
          </w:p>
        </w:tc>
        <w:tc>
          <w:tcPr>
            <w:tcW w:w="1764" w:type="pct"/>
          </w:tcPr>
          <w:p w14:paraId="27F79049" w14:textId="2E66A5E4"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0.029</w:t>
            </w:r>
          </w:p>
        </w:tc>
        <w:tc>
          <w:tcPr>
            <w:tcW w:w="569" w:type="pct"/>
          </w:tcPr>
          <w:p w14:paraId="5F6709CC" w14:textId="18939EDC"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0.914</w:t>
            </w:r>
          </w:p>
        </w:tc>
        <w:tc>
          <w:tcPr>
            <w:tcW w:w="794" w:type="pct"/>
          </w:tcPr>
          <w:p w14:paraId="0EEFC9AE" w14:textId="7A75D604"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0.361</w:t>
            </w:r>
          </w:p>
        </w:tc>
      </w:tr>
      <w:tr w:rsidR="00107B20" w:rsidRPr="00B07B0D" w14:paraId="3882375F" w14:textId="77777777" w:rsidTr="005C23ED">
        <w:trPr>
          <w:trHeight w:val="212"/>
          <w:jc w:val="center"/>
        </w:trPr>
        <w:tc>
          <w:tcPr>
            <w:tcW w:w="523" w:type="pct"/>
            <w:vMerge/>
          </w:tcPr>
          <w:p w14:paraId="70BB6295"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5FC1EB42" w14:textId="284B447F"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GEN_EXEC</w:t>
            </w:r>
          </w:p>
        </w:tc>
        <w:tc>
          <w:tcPr>
            <w:tcW w:w="1764" w:type="pct"/>
          </w:tcPr>
          <w:p w14:paraId="2D6B2A01" w14:textId="11A62859"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0.037</w:t>
            </w:r>
          </w:p>
        </w:tc>
        <w:tc>
          <w:tcPr>
            <w:tcW w:w="569" w:type="pct"/>
          </w:tcPr>
          <w:p w14:paraId="033738D7" w14:textId="77777777"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1.197</w:t>
            </w:r>
          </w:p>
        </w:tc>
        <w:tc>
          <w:tcPr>
            <w:tcW w:w="794" w:type="pct"/>
          </w:tcPr>
          <w:p w14:paraId="788C46BA" w14:textId="3D86E116"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0.232</w:t>
            </w:r>
          </w:p>
        </w:tc>
      </w:tr>
      <w:tr w:rsidR="00107B20" w:rsidRPr="00B07B0D" w14:paraId="2005F1BB" w14:textId="77777777" w:rsidTr="005C23ED">
        <w:trPr>
          <w:trHeight w:val="212"/>
          <w:jc w:val="center"/>
        </w:trPr>
        <w:tc>
          <w:tcPr>
            <w:tcW w:w="523" w:type="pct"/>
            <w:vMerge/>
          </w:tcPr>
          <w:p w14:paraId="76931458"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03807633" w14:textId="21B2E6E8"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AUD_EXP</w:t>
            </w:r>
          </w:p>
        </w:tc>
        <w:tc>
          <w:tcPr>
            <w:tcW w:w="1764" w:type="pct"/>
          </w:tcPr>
          <w:p w14:paraId="72432A50" w14:textId="74A24E63"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0.006</w:t>
            </w:r>
          </w:p>
        </w:tc>
        <w:tc>
          <w:tcPr>
            <w:tcW w:w="569" w:type="pct"/>
          </w:tcPr>
          <w:p w14:paraId="15BB2A36" w14:textId="1A250092"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0.178</w:t>
            </w:r>
          </w:p>
        </w:tc>
        <w:tc>
          <w:tcPr>
            <w:tcW w:w="794" w:type="pct"/>
          </w:tcPr>
          <w:p w14:paraId="484F29DD" w14:textId="1E40F86B"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0.859</w:t>
            </w:r>
          </w:p>
        </w:tc>
      </w:tr>
      <w:tr w:rsidR="00107B20" w:rsidRPr="00B07B0D" w14:paraId="28FA0AEC" w14:textId="77777777" w:rsidTr="005C23ED">
        <w:trPr>
          <w:trHeight w:val="212"/>
          <w:jc w:val="center"/>
        </w:trPr>
        <w:tc>
          <w:tcPr>
            <w:tcW w:w="523" w:type="pct"/>
            <w:vMerge/>
          </w:tcPr>
          <w:p w14:paraId="1F1762BC"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5F338AEE" w14:textId="2F2ABD8A"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AUD_NONEX</w:t>
            </w:r>
          </w:p>
        </w:tc>
        <w:tc>
          <w:tcPr>
            <w:tcW w:w="1764" w:type="pct"/>
          </w:tcPr>
          <w:p w14:paraId="5765B4FC" w14:textId="6013DA15"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0.012</w:t>
            </w:r>
          </w:p>
        </w:tc>
        <w:tc>
          <w:tcPr>
            <w:tcW w:w="569" w:type="pct"/>
          </w:tcPr>
          <w:p w14:paraId="73DD104B" w14:textId="407D1896"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0.340</w:t>
            </w:r>
          </w:p>
        </w:tc>
        <w:tc>
          <w:tcPr>
            <w:tcW w:w="794" w:type="pct"/>
          </w:tcPr>
          <w:p w14:paraId="02C70AE8" w14:textId="6A2EBE21"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0.734</w:t>
            </w:r>
          </w:p>
        </w:tc>
      </w:tr>
      <w:tr w:rsidR="00107B20" w:rsidRPr="00B07B0D" w14:paraId="1BCCD3E4" w14:textId="77777777" w:rsidTr="005C23ED">
        <w:trPr>
          <w:trHeight w:val="212"/>
          <w:jc w:val="center"/>
        </w:trPr>
        <w:tc>
          <w:tcPr>
            <w:tcW w:w="523" w:type="pct"/>
            <w:vMerge/>
          </w:tcPr>
          <w:p w14:paraId="1B81D2C3"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5E7F30D8" w14:textId="08569F95"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AUD_IND</w:t>
            </w:r>
          </w:p>
        </w:tc>
        <w:tc>
          <w:tcPr>
            <w:tcW w:w="1764" w:type="pct"/>
          </w:tcPr>
          <w:p w14:paraId="5081BC8A" w14:textId="697F9F6C"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0.036</w:t>
            </w:r>
          </w:p>
        </w:tc>
        <w:tc>
          <w:tcPr>
            <w:tcW w:w="569" w:type="pct"/>
          </w:tcPr>
          <w:p w14:paraId="1C2ACD75" w14:textId="3598C2FC"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0.841</w:t>
            </w:r>
          </w:p>
        </w:tc>
        <w:tc>
          <w:tcPr>
            <w:tcW w:w="794" w:type="pct"/>
          </w:tcPr>
          <w:p w14:paraId="3118B462" w14:textId="56C8A354"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0.400</w:t>
            </w:r>
          </w:p>
        </w:tc>
      </w:tr>
      <w:tr w:rsidR="00107B20" w:rsidRPr="00B07B0D" w14:paraId="47197DA7" w14:textId="77777777" w:rsidTr="005C23ED">
        <w:trPr>
          <w:trHeight w:val="212"/>
          <w:jc w:val="center"/>
        </w:trPr>
        <w:tc>
          <w:tcPr>
            <w:tcW w:w="523" w:type="pct"/>
            <w:vMerge/>
          </w:tcPr>
          <w:p w14:paraId="1BE9A5D3"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6D8B5AE1" w14:textId="4B392360"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INT_AUD</w:t>
            </w:r>
          </w:p>
        </w:tc>
        <w:tc>
          <w:tcPr>
            <w:tcW w:w="1764" w:type="pct"/>
          </w:tcPr>
          <w:p w14:paraId="162A51AB" w14:textId="4C2BD021"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0.049</w:t>
            </w:r>
          </w:p>
        </w:tc>
        <w:tc>
          <w:tcPr>
            <w:tcW w:w="569" w:type="pct"/>
          </w:tcPr>
          <w:p w14:paraId="708BBE32" w14:textId="77777777"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1.584</w:t>
            </w:r>
          </w:p>
        </w:tc>
        <w:tc>
          <w:tcPr>
            <w:tcW w:w="794" w:type="pct"/>
          </w:tcPr>
          <w:p w14:paraId="3C0C8365" w14:textId="7D057E3B"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0.114</w:t>
            </w:r>
          </w:p>
        </w:tc>
      </w:tr>
      <w:tr w:rsidR="00107B20" w:rsidRPr="00B07B0D" w14:paraId="0730A34D" w14:textId="77777777" w:rsidTr="005C23ED">
        <w:trPr>
          <w:trHeight w:val="74"/>
          <w:jc w:val="center"/>
        </w:trPr>
        <w:tc>
          <w:tcPr>
            <w:tcW w:w="523" w:type="pct"/>
            <w:vMerge/>
          </w:tcPr>
          <w:p w14:paraId="37F63FD8" w14:textId="77777777" w:rsidR="00CB1050" w:rsidRPr="00B07B0D" w:rsidRDefault="00CB1050" w:rsidP="00CB1050">
            <w:pPr>
              <w:ind w:left="30" w:right="40"/>
              <w:jc w:val="left"/>
              <w:rPr>
                <w:rFonts w:ascii="Times New Roman" w:hAnsi="Times New Roman" w:cs="Times New Roman"/>
                <w:sz w:val="20"/>
                <w:szCs w:val="20"/>
                <w:lang w:val="en-US"/>
              </w:rPr>
            </w:pPr>
          </w:p>
        </w:tc>
        <w:tc>
          <w:tcPr>
            <w:tcW w:w="1349" w:type="pct"/>
            <w:gridSpan w:val="2"/>
          </w:tcPr>
          <w:p w14:paraId="7CFC0294" w14:textId="5BB0F941" w:rsidR="00CB1050" w:rsidRPr="00B07B0D" w:rsidRDefault="00CB1050" w:rsidP="00CB1050">
            <w:pPr>
              <w:ind w:left="30" w:right="40"/>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SIZE</w:t>
            </w:r>
          </w:p>
        </w:tc>
        <w:tc>
          <w:tcPr>
            <w:tcW w:w="1764" w:type="pct"/>
          </w:tcPr>
          <w:p w14:paraId="6AFBE20C" w14:textId="47DC4CEB"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0.478</w:t>
            </w:r>
          </w:p>
        </w:tc>
        <w:tc>
          <w:tcPr>
            <w:tcW w:w="569" w:type="pct"/>
          </w:tcPr>
          <w:p w14:paraId="5C1BD0FB" w14:textId="77777777"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14.887</w:t>
            </w:r>
          </w:p>
        </w:tc>
        <w:tc>
          <w:tcPr>
            <w:tcW w:w="794" w:type="pct"/>
          </w:tcPr>
          <w:p w14:paraId="322D194E" w14:textId="6ACAB16C" w:rsidR="00CB1050" w:rsidRPr="00B07B0D" w:rsidRDefault="00CB1050" w:rsidP="00844B0F">
            <w:pPr>
              <w:ind w:left="30" w:right="40"/>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&lt;0.001</w:t>
            </w:r>
          </w:p>
        </w:tc>
      </w:tr>
    </w:tbl>
    <w:p w14:paraId="0539CCF0" w14:textId="15838677" w:rsidR="0019269E" w:rsidRPr="00024BAE" w:rsidRDefault="002D745E" w:rsidP="00386D8C">
      <w:pPr>
        <w:jc w:val="center"/>
        <w:rPr>
          <w:iCs/>
          <w:sz w:val="20"/>
          <w:szCs w:val="22"/>
          <w:lang w:val="en-US"/>
        </w:rPr>
      </w:pPr>
      <w:r w:rsidRPr="00B07B0D">
        <w:rPr>
          <w:i/>
          <w:iCs/>
          <w:sz w:val="20"/>
          <w:szCs w:val="22"/>
          <w:lang w:val="en-US"/>
        </w:rPr>
        <w:t>Source</w:t>
      </w:r>
      <w:r w:rsidRPr="00024BAE">
        <w:rPr>
          <w:iCs/>
          <w:sz w:val="20"/>
          <w:szCs w:val="22"/>
          <w:lang w:val="en-US"/>
        </w:rPr>
        <w:t>: Authors’ own research</w:t>
      </w:r>
    </w:p>
    <w:p w14:paraId="3368D882" w14:textId="77777777" w:rsidR="0019269E" w:rsidRPr="00B07B0D" w:rsidRDefault="0019269E" w:rsidP="001F62AF">
      <w:pPr>
        <w:rPr>
          <w:lang w:val="en-US"/>
        </w:rPr>
      </w:pPr>
    </w:p>
    <w:p w14:paraId="5DF5CA3E" w14:textId="07911D65" w:rsidR="006754B0" w:rsidRPr="00B07B0D" w:rsidRDefault="00DB4362" w:rsidP="001F62AF">
      <w:pPr>
        <w:rPr>
          <w:lang w:val="en-US"/>
        </w:rPr>
      </w:pPr>
      <w:r w:rsidRPr="00B07B0D">
        <w:rPr>
          <w:lang w:val="en-US"/>
        </w:rPr>
        <w:t>The interpretation of standardized beta coefficients in a regression analysis provides information about the contribution of independent variables to the dependent variable, EBITDA. For example, it indicates the expected change in EBITDA when an independent variable increases by one standard deviation, assuming that the other variables in the model remain constant. On the other hand, the sign and value of the t-statistic associated with each standardized beta allow for the assessment of the statistical significance of the relationship. A positive coefficient indicates a direct (proportional) relationship between the variable and EBITDA, whereas a negative coefficient indicates an inverse relationship. If the p-value associated with the t-test is below the conventional threshold (such as 0.05), the coefficient is considered significantly different from zero.</w:t>
      </w:r>
    </w:p>
    <w:p w14:paraId="4C0D8923" w14:textId="77777777" w:rsidR="00DB4362" w:rsidRPr="00B07B0D" w:rsidRDefault="00DB4362" w:rsidP="001F62AF">
      <w:pPr>
        <w:rPr>
          <w:lang w:val="en-US"/>
        </w:rPr>
      </w:pPr>
    </w:p>
    <w:p w14:paraId="0E0FCAFC" w14:textId="36A4D963" w:rsidR="00DB4362" w:rsidRPr="00B07B0D" w:rsidRDefault="00DB4362" w:rsidP="001F62AF">
      <w:pPr>
        <w:rPr>
          <w:lang w:val="en-US"/>
        </w:rPr>
      </w:pPr>
      <w:r w:rsidRPr="00B07B0D">
        <w:rPr>
          <w:lang w:val="en-US"/>
        </w:rPr>
        <w:t xml:space="preserve">In line with </w:t>
      </w:r>
      <w:proofErr w:type="spellStart"/>
      <w:r w:rsidRPr="00B07B0D">
        <w:rPr>
          <w:lang w:val="en-US"/>
        </w:rPr>
        <w:t>Melón-Izco</w:t>
      </w:r>
      <w:proofErr w:type="spellEnd"/>
      <w:r w:rsidRPr="00B07B0D">
        <w:rPr>
          <w:lang w:val="en-US"/>
        </w:rPr>
        <w:t xml:space="preserve"> </w:t>
      </w:r>
      <w:r w:rsidRPr="00B07B0D">
        <w:rPr>
          <w:i/>
          <w:iCs/>
          <w:lang w:val="en-US"/>
        </w:rPr>
        <w:t>et al</w:t>
      </w:r>
      <w:r w:rsidRPr="00B07B0D">
        <w:rPr>
          <w:lang w:val="en-US"/>
        </w:rPr>
        <w:t xml:space="preserve">. (2020), the results of the regression analysis indicate that financial performance (EBITDA) is significantly and consistently influenced by board size (p &lt; 0.001). This correlation suggests that a larger management structure supports performance, as a larger board benefits from a greater diversity of skills and experiences, necessary to ensure compliance with and the implementation of good governance principles. At the same time, the positive and consistent impact of total assets (SIZE) on EBITDA (p &lt; 0.001) confirms the conclusions drawn by </w:t>
      </w:r>
      <w:proofErr w:type="spellStart"/>
      <w:r w:rsidRPr="00B07B0D">
        <w:rPr>
          <w:lang w:val="en-US"/>
        </w:rPr>
        <w:t>Ionașcu</w:t>
      </w:r>
      <w:proofErr w:type="spellEnd"/>
      <w:r w:rsidRPr="00B07B0D">
        <w:rPr>
          <w:lang w:val="en-US"/>
        </w:rPr>
        <w:t xml:space="preserve"> </w:t>
      </w:r>
      <w:r w:rsidRPr="00B07B0D">
        <w:rPr>
          <w:i/>
          <w:iCs/>
          <w:lang w:val="en-US"/>
        </w:rPr>
        <w:t>et al</w:t>
      </w:r>
      <w:r w:rsidRPr="00B07B0D">
        <w:rPr>
          <w:lang w:val="en-US"/>
        </w:rPr>
        <w:t>. (2018), validating firm size as a major determinant of operational performance.</w:t>
      </w:r>
    </w:p>
    <w:p w14:paraId="1339601D" w14:textId="77777777" w:rsidR="00DB4362" w:rsidRPr="00B07B0D" w:rsidRDefault="00DB4362" w:rsidP="001F62AF">
      <w:pPr>
        <w:rPr>
          <w:lang w:val="en-US"/>
        </w:rPr>
      </w:pPr>
    </w:p>
    <w:p w14:paraId="619EBE77" w14:textId="77777777" w:rsidR="00DB4362" w:rsidRPr="00B07B0D" w:rsidRDefault="00DB4362" w:rsidP="00DB4362">
      <w:pPr>
        <w:rPr>
          <w:lang w:val="en-US"/>
        </w:rPr>
      </w:pPr>
      <w:r w:rsidRPr="00B07B0D">
        <w:rPr>
          <w:lang w:val="en-US"/>
        </w:rPr>
        <w:t>In contrast, the independence and composition of the audit committee (AUD_IND, AUD_EXP, AUD_NONEX), as well as the reporting carried out by the audit team (INT_AUD), do not have a significant direct influence on EBITDA during the analyzed period, with the exception of 2023, when the independence of board members (BD_IND) became a relevant predictor (p = 0.041). Thus, audit characteristics function more as pillars of compliance and control, without generating a significant impact on operational profitability. This finding confirms the role delineation proposed by Tušek (2015), according to whom internal audit (INT_AUD) acts as a pillar of compliance and risk management, ensuring resilience, while gross operating performance (EBITDA) is dictated by strategic decisions and asset size (SIZE).</w:t>
      </w:r>
    </w:p>
    <w:p w14:paraId="0EDBC769" w14:textId="77777777" w:rsidR="0044122F" w:rsidRPr="00B07B0D" w:rsidRDefault="0044122F" w:rsidP="00DB4362">
      <w:pPr>
        <w:rPr>
          <w:lang w:val="en-US"/>
        </w:rPr>
      </w:pPr>
    </w:p>
    <w:p w14:paraId="0DE16A85" w14:textId="4E08B517" w:rsidR="00DB4362" w:rsidRPr="00B07B0D" w:rsidRDefault="00DB4362" w:rsidP="00DB4362">
      <w:pPr>
        <w:rPr>
          <w:lang w:val="en-US"/>
        </w:rPr>
      </w:pPr>
      <w:r w:rsidRPr="00B07B0D">
        <w:rPr>
          <w:lang w:val="en-US"/>
        </w:rPr>
        <w:t xml:space="preserve">This finding confirms Legitimacy Theory, suggesting that audit mechanisms function more as pillars of compliance and control to signal transparency, without generating a direct impact on profitability (Gezgin </w:t>
      </w:r>
      <w:r w:rsidRPr="00B07B0D">
        <w:rPr>
          <w:i/>
          <w:iCs/>
          <w:lang w:val="en-US"/>
        </w:rPr>
        <w:t>et al</w:t>
      </w:r>
      <w:r w:rsidRPr="00B07B0D">
        <w:rPr>
          <w:lang w:val="en-US"/>
        </w:rPr>
        <w:t>., 2024)</w:t>
      </w:r>
      <w:r w:rsidR="006F5D0F">
        <w:rPr>
          <w:lang w:val="en-US"/>
        </w:rPr>
        <w:t>.</w:t>
      </w:r>
    </w:p>
    <w:p w14:paraId="2CD5F2CA" w14:textId="77777777" w:rsidR="00DB4362" w:rsidRPr="00B07B0D" w:rsidRDefault="00DB4362" w:rsidP="00DB4362">
      <w:pPr>
        <w:rPr>
          <w:lang w:val="en-US"/>
        </w:rPr>
      </w:pPr>
    </w:p>
    <w:p w14:paraId="7A45F269" w14:textId="7697AD21" w:rsidR="00DB4362" w:rsidRPr="00B07B0D" w:rsidRDefault="00DB4362" w:rsidP="001F62AF">
      <w:pPr>
        <w:rPr>
          <w:lang w:val="en-US"/>
        </w:rPr>
      </w:pPr>
      <w:r w:rsidRPr="00B07B0D">
        <w:rPr>
          <w:lang w:val="en-US"/>
        </w:rPr>
        <w:t>On the other hand, governance variables such as meeting attendance (BD_ATT), gender diversity (GEN_BD, GEN_EXEC), the composition of the audit committee (AUD_IND, AUD_EXP, AUD_NONEX), and internal audit reporting (INT_AUD) do not show consistent statistical significance, with most coefficients being insignificant (p &gt; 0.10) during the analyzed period. This indicates either a weak effect or limited variation in the analyzed sample, which restricts the ability of these variables to explain EBITDA variations. From the perspective of Legitimacy Theory, this suggests that the benefits of diversity and audit mechanisms manifest themselves primarily in terms of reputation and long-term sustainability, without generating an immediate change in gross operating margins (EBITDA).</w:t>
      </w:r>
    </w:p>
    <w:p w14:paraId="6730624E" w14:textId="77777777" w:rsidR="00DB4362" w:rsidRPr="00B07B0D" w:rsidRDefault="00DB4362" w:rsidP="001F62AF">
      <w:pPr>
        <w:rPr>
          <w:lang w:val="en-US"/>
        </w:rPr>
      </w:pPr>
    </w:p>
    <w:p w14:paraId="029FF05F" w14:textId="62A14643" w:rsidR="001466C3" w:rsidRPr="00B07B0D" w:rsidRDefault="001466C3" w:rsidP="001F62AF">
      <w:pPr>
        <w:rPr>
          <w:lang w:val="en-US"/>
        </w:rPr>
      </w:pPr>
      <w:r w:rsidRPr="00B07B0D">
        <w:rPr>
          <w:lang w:val="en-US"/>
        </w:rPr>
        <w:t>In the continuation of the analysis, multicollinearity between the predictor variables was tested using the Variance Inflation Factor (VIF). The results obtained from the analysis are presented centrally for the entire period analyzed in Table</w:t>
      </w:r>
      <w:r w:rsidR="004C74A4" w:rsidRPr="00B07B0D">
        <w:rPr>
          <w:lang w:val="en-US"/>
        </w:rPr>
        <w:t xml:space="preserve"> </w:t>
      </w:r>
      <w:r w:rsidR="00181363" w:rsidRPr="00B07B0D">
        <w:rPr>
          <w:lang w:val="en-US"/>
        </w:rPr>
        <w:t>8</w:t>
      </w:r>
      <w:r w:rsidRPr="00B07B0D">
        <w:rPr>
          <w:lang w:val="en-US"/>
        </w:rPr>
        <w:t>.</w:t>
      </w:r>
    </w:p>
    <w:p w14:paraId="62A23166" w14:textId="77777777" w:rsidR="00C26EF4" w:rsidRPr="00B07B0D" w:rsidRDefault="00C26EF4" w:rsidP="00D36F2F">
      <w:pPr>
        <w:rPr>
          <w:lang w:val="en-US"/>
        </w:rPr>
      </w:pPr>
    </w:p>
    <w:p w14:paraId="440AD4A8" w14:textId="07528A8A" w:rsidR="001466C3" w:rsidRPr="00B07B0D" w:rsidRDefault="001466C3" w:rsidP="004C74A4">
      <w:pPr>
        <w:jc w:val="center"/>
        <w:rPr>
          <w:b/>
          <w:bCs/>
          <w:sz w:val="20"/>
          <w:szCs w:val="22"/>
          <w:lang w:val="en-US"/>
        </w:rPr>
      </w:pPr>
      <w:r w:rsidRPr="00B07B0D">
        <w:rPr>
          <w:b/>
          <w:bCs/>
          <w:sz w:val="20"/>
          <w:szCs w:val="22"/>
          <w:lang w:val="en-US"/>
        </w:rPr>
        <w:t xml:space="preserve">Table </w:t>
      </w:r>
      <w:r w:rsidR="00181363" w:rsidRPr="00B07B0D">
        <w:rPr>
          <w:b/>
          <w:bCs/>
          <w:sz w:val="20"/>
          <w:szCs w:val="22"/>
          <w:lang w:val="en-US"/>
        </w:rPr>
        <w:t>8</w:t>
      </w:r>
      <w:r w:rsidR="004C74A4" w:rsidRPr="00B07B0D">
        <w:rPr>
          <w:b/>
          <w:bCs/>
          <w:sz w:val="20"/>
          <w:szCs w:val="22"/>
          <w:lang w:val="en-US"/>
        </w:rPr>
        <w:t>.</w:t>
      </w:r>
      <w:r w:rsidRPr="00B07B0D">
        <w:rPr>
          <w:b/>
          <w:bCs/>
          <w:sz w:val="20"/>
          <w:szCs w:val="22"/>
          <w:lang w:val="en-US"/>
        </w:rPr>
        <w:t xml:space="preserve"> </w:t>
      </w:r>
      <w:r w:rsidR="004C74A4" w:rsidRPr="00B07B0D">
        <w:rPr>
          <w:b/>
          <w:bCs/>
          <w:sz w:val="20"/>
          <w:szCs w:val="22"/>
          <w:lang w:val="en-US"/>
        </w:rPr>
        <w:t xml:space="preserve">Collinearity </w:t>
      </w:r>
      <w:r w:rsidR="005C23ED">
        <w:rPr>
          <w:b/>
          <w:bCs/>
          <w:sz w:val="20"/>
          <w:szCs w:val="22"/>
          <w:lang w:val="en-US"/>
        </w:rPr>
        <w:t>s</w:t>
      </w:r>
      <w:r w:rsidR="004C74A4" w:rsidRPr="00B07B0D">
        <w:rPr>
          <w:b/>
          <w:bCs/>
          <w:sz w:val="20"/>
          <w:szCs w:val="22"/>
          <w:lang w:val="en-US"/>
        </w:rPr>
        <w:t>tatistics</w:t>
      </w:r>
    </w:p>
    <w:tbl>
      <w:tblPr>
        <w:tblW w:w="7503" w:type="dxa"/>
        <w:jc w:val="center"/>
        <w:tblBorders>
          <w:top w:val="single" w:sz="4" w:space="0" w:color="auto"/>
          <w:bottom w:val="single" w:sz="4" w:space="0" w:color="auto"/>
        </w:tblBorders>
        <w:tblLayout w:type="fixed"/>
        <w:tblCellMar>
          <w:left w:w="10" w:type="dxa"/>
          <w:right w:w="10" w:type="dxa"/>
        </w:tblCellMar>
        <w:tblLook w:val="04A0" w:firstRow="1" w:lastRow="0" w:firstColumn="1" w:lastColumn="0" w:noHBand="0" w:noVBand="1"/>
      </w:tblPr>
      <w:tblGrid>
        <w:gridCol w:w="1286"/>
        <w:gridCol w:w="891"/>
        <w:gridCol w:w="567"/>
        <w:gridCol w:w="890"/>
        <w:gridCol w:w="567"/>
        <w:gridCol w:w="891"/>
        <w:gridCol w:w="852"/>
        <w:gridCol w:w="992"/>
        <w:gridCol w:w="567"/>
      </w:tblGrid>
      <w:tr w:rsidR="003D1CD8" w:rsidRPr="00B07B0D" w14:paraId="649EC2F4" w14:textId="77777777" w:rsidTr="005C23ED">
        <w:trPr>
          <w:trHeight w:val="3"/>
          <w:tblHeader/>
          <w:jc w:val="center"/>
        </w:trPr>
        <w:tc>
          <w:tcPr>
            <w:tcW w:w="1286" w:type="dxa"/>
            <w:vMerge w:val="restart"/>
            <w:tcBorders>
              <w:top w:val="single" w:sz="4" w:space="0" w:color="auto"/>
              <w:bottom w:val="nil"/>
            </w:tcBorders>
            <w:vAlign w:val="center"/>
          </w:tcPr>
          <w:p w14:paraId="60C80285" w14:textId="5C209406" w:rsidR="003D1CD8" w:rsidRPr="00B07B0D" w:rsidRDefault="003D1CD8" w:rsidP="003D1CD8">
            <w:pPr>
              <w:jc w:val="center"/>
              <w:rPr>
                <w:rFonts w:ascii="Times New Roman" w:hAnsi="Times New Roman" w:cs="Times New Roman"/>
                <w:b/>
                <w:bCs/>
                <w:sz w:val="20"/>
                <w:szCs w:val="20"/>
                <w:lang w:val="en-US"/>
              </w:rPr>
            </w:pPr>
            <w:r w:rsidRPr="00B07B0D">
              <w:rPr>
                <w:rFonts w:ascii="Times New Roman" w:hAnsi="Times New Roman" w:cs="Times New Roman"/>
                <w:b/>
                <w:bCs/>
                <w:sz w:val="20"/>
                <w:szCs w:val="20"/>
                <w:lang w:val="en-US"/>
              </w:rPr>
              <w:t>Indicator</w:t>
            </w:r>
          </w:p>
        </w:tc>
        <w:tc>
          <w:tcPr>
            <w:tcW w:w="1458" w:type="dxa"/>
            <w:gridSpan w:val="2"/>
            <w:tcBorders>
              <w:top w:val="single" w:sz="4" w:space="0" w:color="auto"/>
              <w:bottom w:val="nil"/>
            </w:tcBorders>
            <w:vAlign w:val="bottom"/>
          </w:tcPr>
          <w:p w14:paraId="7415890C" w14:textId="7A5ED686" w:rsidR="003D1CD8" w:rsidRPr="00B07B0D" w:rsidRDefault="003D1CD8" w:rsidP="0044122F">
            <w:pPr>
              <w:jc w:val="center"/>
              <w:rPr>
                <w:rFonts w:ascii="Times New Roman" w:hAnsi="Times New Roman" w:cs="Times New Roman"/>
                <w:b/>
                <w:bCs/>
                <w:sz w:val="20"/>
                <w:szCs w:val="20"/>
                <w:lang w:val="en-US"/>
              </w:rPr>
            </w:pPr>
            <w:r w:rsidRPr="00B07B0D">
              <w:rPr>
                <w:rFonts w:ascii="Times New Roman" w:hAnsi="Times New Roman" w:cs="Times New Roman"/>
                <w:b/>
                <w:bCs/>
                <w:sz w:val="20"/>
                <w:szCs w:val="20"/>
                <w:lang w:val="en-US"/>
              </w:rPr>
              <w:t>2021</w:t>
            </w:r>
          </w:p>
        </w:tc>
        <w:tc>
          <w:tcPr>
            <w:tcW w:w="1457" w:type="dxa"/>
            <w:gridSpan w:val="2"/>
            <w:tcBorders>
              <w:top w:val="single" w:sz="4" w:space="0" w:color="auto"/>
              <w:bottom w:val="nil"/>
            </w:tcBorders>
          </w:tcPr>
          <w:p w14:paraId="79377E4D" w14:textId="36F37011" w:rsidR="003D1CD8" w:rsidRPr="00B07B0D" w:rsidRDefault="003D1CD8" w:rsidP="0044122F">
            <w:pPr>
              <w:jc w:val="center"/>
              <w:rPr>
                <w:rFonts w:ascii="Times New Roman" w:hAnsi="Times New Roman" w:cs="Times New Roman"/>
                <w:b/>
                <w:bCs/>
                <w:sz w:val="20"/>
                <w:szCs w:val="20"/>
                <w:lang w:val="en-US"/>
              </w:rPr>
            </w:pPr>
            <w:r w:rsidRPr="00B07B0D">
              <w:rPr>
                <w:rFonts w:ascii="Times New Roman" w:hAnsi="Times New Roman" w:cs="Times New Roman"/>
                <w:b/>
                <w:bCs/>
                <w:sz w:val="20"/>
                <w:szCs w:val="20"/>
                <w:lang w:val="en-US"/>
              </w:rPr>
              <w:t>2022</w:t>
            </w:r>
          </w:p>
        </w:tc>
        <w:tc>
          <w:tcPr>
            <w:tcW w:w="1743" w:type="dxa"/>
            <w:gridSpan w:val="2"/>
            <w:tcBorders>
              <w:top w:val="single" w:sz="4" w:space="0" w:color="auto"/>
              <w:bottom w:val="nil"/>
            </w:tcBorders>
          </w:tcPr>
          <w:p w14:paraId="60F5545F" w14:textId="546679E3" w:rsidR="003D1CD8" w:rsidRPr="00B07B0D" w:rsidRDefault="003D1CD8" w:rsidP="0044122F">
            <w:pPr>
              <w:jc w:val="center"/>
              <w:rPr>
                <w:rFonts w:ascii="Times New Roman" w:hAnsi="Times New Roman" w:cs="Times New Roman"/>
                <w:b/>
                <w:bCs/>
                <w:sz w:val="20"/>
                <w:szCs w:val="20"/>
                <w:lang w:val="en-US"/>
              </w:rPr>
            </w:pPr>
            <w:r w:rsidRPr="00B07B0D">
              <w:rPr>
                <w:rFonts w:ascii="Times New Roman" w:hAnsi="Times New Roman" w:cs="Times New Roman"/>
                <w:b/>
                <w:bCs/>
                <w:sz w:val="20"/>
                <w:szCs w:val="20"/>
                <w:lang w:val="en-US"/>
              </w:rPr>
              <w:t>2023</w:t>
            </w:r>
          </w:p>
        </w:tc>
        <w:tc>
          <w:tcPr>
            <w:tcW w:w="1559" w:type="dxa"/>
            <w:gridSpan w:val="2"/>
            <w:tcBorders>
              <w:top w:val="single" w:sz="4" w:space="0" w:color="auto"/>
              <w:bottom w:val="nil"/>
            </w:tcBorders>
          </w:tcPr>
          <w:p w14:paraId="3EB298DA" w14:textId="31639561" w:rsidR="003D1CD8" w:rsidRPr="00B07B0D" w:rsidRDefault="003D1CD8" w:rsidP="0044122F">
            <w:pPr>
              <w:jc w:val="center"/>
              <w:rPr>
                <w:rFonts w:ascii="Times New Roman" w:hAnsi="Times New Roman" w:cs="Times New Roman"/>
                <w:b/>
                <w:bCs/>
                <w:sz w:val="20"/>
                <w:szCs w:val="20"/>
                <w:lang w:val="en-US"/>
              </w:rPr>
            </w:pPr>
            <w:r w:rsidRPr="00B07B0D">
              <w:rPr>
                <w:rFonts w:ascii="Times New Roman" w:hAnsi="Times New Roman" w:cs="Times New Roman"/>
                <w:b/>
                <w:bCs/>
                <w:sz w:val="20"/>
                <w:szCs w:val="20"/>
                <w:lang w:val="en-US"/>
              </w:rPr>
              <w:t>2024</w:t>
            </w:r>
          </w:p>
        </w:tc>
      </w:tr>
      <w:tr w:rsidR="003D1CD8" w:rsidRPr="00B07B0D" w14:paraId="145ED617" w14:textId="77777777" w:rsidTr="005C23ED">
        <w:trPr>
          <w:trHeight w:val="1"/>
          <w:tblHeader/>
          <w:jc w:val="center"/>
        </w:trPr>
        <w:tc>
          <w:tcPr>
            <w:tcW w:w="1286" w:type="dxa"/>
            <w:vMerge/>
            <w:tcBorders>
              <w:top w:val="nil"/>
              <w:bottom w:val="single" w:sz="4" w:space="0" w:color="auto"/>
            </w:tcBorders>
          </w:tcPr>
          <w:p w14:paraId="39A9E9BA" w14:textId="4D4B4846" w:rsidR="003D1CD8" w:rsidRPr="00B07B0D" w:rsidRDefault="003D1CD8" w:rsidP="0044122F">
            <w:pPr>
              <w:jc w:val="center"/>
              <w:rPr>
                <w:rFonts w:ascii="Times New Roman" w:hAnsi="Times New Roman" w:cs="Times New Roman"/>
                <w:b/>
                <w:bCs/>
                <w:sz w:val="20"/>
                <w:szCs w:val="20"/>
                <w:lang w:val="en-US"/>
              </w:rPr>
            </w:pPr>
          </w:p>
        </w:tc>
        <w:tc>
          <w:tcPr>
            <w:tcW w:w="891" w:type="dxa"/>
            <w:tcBorders>
              <w:top w:val="nil"/>
              <w:bottom w:val="single" w:sz="4" w:space="0" w:color="auto"/>
            </w:tcBorders>
            <w:vAlign w:val="bottom"/>
          </w:tcPr>
          <w:p w14:paraId="46784B4D" w14:textId="77777777" w:rsidR="003D1CD8" w:rsidRPr="00B07B0D" w:rsidRDefault="003D1CD8" w:rsidP="0044122F">
            <w:pPr>
              <w:jc w:val="center"/>
              <w:rPr>
                <w:rFonts w:ascii="Times New Roman" w:hAnsi="Times New Roman" w:cs="Times New Roman"/>
                <w:b/>
                <w:bCs/>
                <w:sz w:val="20"/>
                <w:szCs w:val="20"/>
                <w:lang w:val="en-US"/>
              </w:rPr>
            </w:pPr>
            <w:r w:rsidRPr="00B07B0D">
              <w:rPr>
                <w:rFonts w:ascii="Times New Roman" w:hAnsi="Times New Roman" w:cs="Times New Roman"/>
                <w:b/>
                <w:bCs/>
                <w:sz w:val="20"/>
                <w:szCs w:val="20"/>
                <w:lang w:val="en-US"/>
              </w:rPr>
              <w:t>Tolerance</w:t>
            </w:r>
          </w:p>
        </w:tc>
        <w:tc>
          <w:tcPr>
            <w:tcW w:w="567" w:type="dxa"/>
            <w:tcBorders>
              <w:top w:val="nil"/>
              <w:bottom w:val="single" w:sz="4" w:space="0" w:color="auto"/>
            </w:tcBorders>
            <w:vAlign w:val="bottom"/>
          </w:tcPr>
          <w:p w14:paraId="0FEDB4CC" w14:textId="77777777" w:rsidR="003D1CD8" w:rsidRPr="00B07B0D" w:rsidRDefault="003D1CD8" w:rsidP="0044122F">
            <w:pPr>
              <w:jc w:val="center"/>
              <w:rPr>
                <w:rFonts w:ascii="Times New Roman" w:hAnsi="Times New Roman" w:cs="Times New Roman"/>
                <w:b/>
                <w:bCs/>
                <w:sz w:val="20"/>
                <w:szCs w:val="20"/>
                <w:lang w:val="en-US"/>
              </w:rPr>
            </w:pPr>
            <w:r w:rsidRPr="00B07B0D">
              <w:rPr>
                <w:rFonts w:ascii="Times New Roman" w:hAnsi="Times New Roman" w:cs="Times New Roman"/>
                <w:b/>
                <w:bCs/>
                <w:sz w:val="20"/>
                <w:szCs w:val="20"/>
                <w:lang w:val="en-US"/>
              </w:rPr>
              <w:t>VIF</w:t>
            </w:r>
          </w:p>
        </w:tc>
        <w:tc>
          <w:tcPr>
            <w:tcW w:w="890" w:type="dxa"/>
            <w:tcBorders>
              <w:top w:val="nil"/>
              <w:bottom w:val="single" w:sz="4" w:space="0" w:color="auto"/>
            </w:tcBorders>
            <w:vAlign w:val="bottom"/>
          </w:tcPr>
          <w:p w14:paraId="2D3DB833" w14:textId="77777777" w:rsidR="003D1CD8" w:rsidRPr="00B07B0D" w:rsidRDefault="003D1CD8" w:rsidP="0044122F">
            <w:pPr>
              <w:jc w:val="center"/>
              <w:rPr>
                <w:rFonts w:ascii="Times New Roman" w:hAnsi="Times New Roman" w:cs="Times New Roman"/>
                <w:b/>
                <w:bCs/>
                <w:sz w:val="20"/>
                <w:szCs w:val="20"/>
                <w:lang w:val="en-US"/>
              </w:rPr>
            </w:pPr>
            <w:r w:rsidRPr="00B07B0D">
              <w:rPr>
                <w:rFonts w:ascii="Times New Roman" w:hAnsi="Times New Roman" w:cs="Times New Roman"/>
                <w:b/>
                <w:bCs/>
                <w:sz w:val="20"/>
                <w:szCs w:val="20"/>
                <w:lang w:val="en-US"/>
              </w:rPr>
              <w:t>Tolerance</w:t>
            </w:r>
          </w:p>
        </w:tc>
        <w:tc>
          <w:tcPr>
            <w:tcW w:w="567" w:type="dxa"/>
            <w:tcBorders>
              <w:top w:val="nil"/>
              <w:bottom w:val="single" w:sz="4" w:space="0" w:color="auto"/>
            </w:tcBorders>
            <w:vAlign w:val="bottom"/>
          </w:tcPr>
          <w:p w14:paraId="33D037F2" w14:textId="77777777" w:rsidR="003D1CD8" w:rsidRPr="00B07B0D" w:rsidRDefault="003D1CD8" w:rsidP="0044122F">
            <w:pPr>
              <w:jc w:val="center"/>
              <w:rPr>
                <w:rFonts w:ascii="Times New Roman" w:hAnsi="Times New Roman" w:cs="Times New Roman"/>
                <w:b/>
                <w:bCs/>
                <w:sz w:val="20"/>
                <w:szCs w:val="20"/>
                <w:lang w:val="en-US"/>
              </w:rPr>
            </w:pPr>
            <w:r w:rsidRPr="00B07B0D">
              <w:rPr>
                <w:rFonts w:ascii="Times New Roman" w:hAnsi="Times New Roman" w:cs="Times New Roman"/>
                <w:b/>
                <w:bCs/>
                <w:sz w:val="20"/>
                <w:szCs w:val="20"/>
                <w:lang w:val="en-US"/>
              </w:rPr>
              <w:t>VIF</w:t>
            </w:r>
          </w:p>
        </w:tc>
        <w:tc>
          <w:tcPr>
            <w:tcW w:w="891" w:type="dxa"/>
            <w:tcBorders>
              <w:top w:val="nil"/>
              <w:bottom w:val="single" w:sz="4" w:space="0" w:color="auto"/>
            </w:tcBorders>
            <w:vAlign w:val="bottom"/>
          </w:tcPr>
          <w:p w14:paraId="55FF1A53" w14:textId="77777777" w:rsidR="003D1CD8" w:rsidRPr="00B07B0D" w:rsidRDefault="003D1CD8" w:rsidP="0044122F">
            <w:pPr>
              <w:jc w:val="center"/>
              <w:rPr>
                <w:rFonts w:ascii="Times New Roman" w:hAnsi="Times New Roman" w:cs="Times New Roman"/>
                <w:b/>
                <w:bCs/>
                <w:sz w:val="20"/>
                <w:szCs w:val="20"/>
                <w:lang w:val="en-US"/>
              </w:rPr>
            </w:pPr>
            <w:r w:rsidRPr="00B07B0D">
              <w:rPr>
                <w:rFonts w:ascii="Times New Roman" w:hAnsi="Times New Roman" w:cs="Times New Roman"/>
                <w:b/>
                <w:bCs/>
                <w:sz w:val="20"/>
                <w:szCs w:val="20"/>
                <w:lang w:val="en-US"/>
              </w:rPr>
              <w:t>Tolerance</w:t>
            </w:r>
          </w:p>
        </w:tc>
        <w:tc>
          <w:tcPr>
            <w:tcW w:w="852" w:type="dxa"/>
            <w:tcBorders>
              <w:top w:val="nil"/>
              <w:bottom w:val="single" w:sz="4" w:space="0" w:color="auto"/>
            </w:tcBorders>
            <w:vAlign w:val="bottom"/>
          </w:tcPr>
          <w:p w14:paraId="36A1D312" w14:textId="77777777" w:rsidR="003D1CD8" w:rsidRPr="00B07B0D" w:rsidRDefault="003D1CD8" w:rsidP="0044122F">
            <w:pPr>
              <w:jc w:val="center"/>
              <w:rPr>
                <w:rFonts w:ascii="Times New Roman" w:hAnsi="Times New Roman" w:cs="Times New Roman"/>
                <w:b/>
                <w:bCs/>
                <w:sz w:val="20"/>
                <w:szCs w:val="20"/>
                <w:lang w:val="en-US"/>
              </w:rPr>
            </w:pPr>
            <w:r w:rsidRPr="00B07B0D">
              <w:rPr>
                <w:rFonts w:ascii="Times New Roman" w:hAnsi="Times New Roman" w:cs="Times New Roman"/>
                <w:b/>
                <w:bCs/>
                <w:sz w:val="20"/>
                <w:szCs w:val="20"/>
                <w:lang w:val="en-US"/>
              </w:rPr>
              <w:t>VIF</w:t>
            </w:r>
          </w:p>
        </w:tc>
        <w:tc>
          <w:tcPr>
            <w:tcW w:w="992" w:type="dxa"/>
            <w:tcBorders>
              <w:top w:val="nil"/>
              <w:bottom w:val="single" w:sz="4" w:space="0" w:color="auto"/>
            </w:tcBorders>
            <w:vAlign w:val="bottom"/>
          </w:tcPr>
          <w:p w14:paraId="792B291C" w14:textId="77777777" w:rsidR="003D1CD8" w:rsidRPr="00B07B0D" w:rsidRDefault="003D1CD8" w:rsidP="0044122F">
            <w:pPr>
              <w:jc w:val="center"/>
              <w:rPr>
                <w:rFonts w:ascii="Times New Roman" w:hAnsi="Times New Roman" w:cs="Times New Roman"/>
                <w:b/>
                <w:bCs/>
                <w:sz w:val="20"/>
                <w:szCs w:val="20"/>
                <w:lang w:val="en-US"/>
              </w:rPr>
            </w:pPr>
            <w:r w:rsidRPr="00B07B0D">
              <w:rPr>
                <w:rFonts w:ascii="Times New Roman" w:hAnsi="Times New Roman" w:cs="Times New Roman"/>
                <w:b/>
                <w:bCs/>
                <w:sz w:val="20"/>
                <w:szCs w:val="20"/>
                <w:lang w:val="en-US"/>
              </w:rPr>
              <w:t>Tolerance</w:t>
            </w:r>
          </w:p>
        </w:tc>
        <w:tc>
          <w:tcPr>
            <w:tcW w:w="567" w:type="dxa"/>
            <w:tcBorders>
              <w:top w:val="nil"/>
              <w:bottom w:val="single" w:sz="4" w:space="0" w:color="auto"/>
            </w:tcBorders>
            <w:vAlign w:val="bottom"/>
          </w:tcPr>
          <w:p w14:paraId="07D513A2" w14:textId="77777777" w:rsidR="003D1CD8" w:rsidRPr="00B07B0D" w:rsidRDefault="003D1CD8" w:rsidP="0044122F">
            <w:pPr>
              <w:jc w:val="center"/>
              <w:rPr>
                <w:rFonts w:ascii="Times New Roman" w:hAnsi="Times New Roman" w:cs="Times New Roman"/>
                <w:b/>
                <w:bCs/>
                <w:sz w:val="20"/>
                <w:szCs w:val="20"/>
                <w:lang w:val="en-US"/>
              </w:rPr>
            </w:pPr>
            <w:r w:rsidRPr="00B07B0D">
              <w:rPr>
                <w:rFonts w:ascii="Times New Roman" w:hAnsi="Times New Roman" w:cs="Times New Roman"/>
                <w:b/>
                <w:bCs/>
                <w:sz w:val="20"/>
                <w:szCs w:val="20"/>
                <w:lang w:val="en-US"/>
              </w:rPr>
              <w:t>VIF</w:t>
            </w:r>
          </w:p>
        </w:tc>
      </w:tr>
      <w:tr w:rsidR="00107B20" w:rsidRPr="00B07B0D" w14:paraId="68C6BE22" w14:textId="77777777" w:rsidTr="005C23ED">
        <w:trPr>
          <w:trHeight w:val="2"/>
          <w:jc w:val="center"/>
        </w:trPr>
        <w:tc>
          <w:tcPr>
            <w:tcW w:w="1286" w:type="dxa"/>
            <w:tcBorders>
              <w:top w:val="single" w:sz="4" w:space="0" w:color="auto"/>
            </w:tcBorders>
          </w:tcPr>
          <w:p w14:paraId="2AA88F18" w14:textId="3D5A0993" w:rsidR="000E54D7" w:rsidRPr="00B07B0D" w:rsidRDefault="000E54D7" w:rsidP="000E54D7">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BD_IND</w:t>
            </w:r>
          </w:p>
        </w:tc>
        <w:tc>
          <w:tcPr>
            <w:tcW w:w="891" w:type="dxa"/>
            <w:tcBorders>
              <w:top w:val="single" w:sz="4" w:space="0" w:color="auto"/>
            </w:tcBorders>
          </w:tcPr>
          <w:p w14:paraId="1F86615D" w14:textId="58FB5C6A"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0.533</w:t>
            </w:r>
          </w:p>
        </w:tc>
        <w:tc>
          <w:tcPr>
            <w:tcW w:w="567" w:type="dxa"/>
            <w:tcBorders>
              <w:top w:val="single" w:sz="4" w:space="0" w:color="auto"/>
            </w:tcBorders>
          </w:tcPr>
          <w:p w14:paraId="0151F7DE" w14:textId="3E152FFD"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1.876</w:t>
            </w:r>
          </w:p>
        </w:tc>
        <w:tc>
          <w:tcPr>
            <w:tcW w:w="890" w:type="dxa"/>
            <w:tcBorders>
              <w:top w:val="single" w:sz="4" w:space="0" w:color="auto"/>
            </w:tcBorders>
          </w:tcPr>
          <w:p w14:paraId="409EB346" w14:textId="4DDEE2D0"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0.561</w:t>
            </w:r>
          </w:p>
        </w:tc>
        <w:tc>
          <w:tcPr>
            <w:tcW w:w="567" w:type="dxa"/>
            <w:tcBorders>
              <w:top w:val="single" w:sz="4" w:space="0" w:color="auto"/>
            </w:tcBorders>
          </w:tcPr>
          <w:p w14:paraId="2350640B" w14:textId="7AB02099"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1.784</w:t>
            </w:r>
          </w:p>
        </w:tc>
        <w:tc>
          <w:tcPr>
            <w:tcW w:w="891" w:type="dxa"/>
            <w:tcBorders>
              <w:top w:val="single" w:sz="4" w:space="0" w:color="auto"/>
            </w:tcBorders>
          </w:tcPr>
          <w:p w14:paraId="5E1AB03E" w14:textId="51DF8205"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0.569</w:t>
            </w:r>
          </w:p>
        </w:tc>
        <w:tc>
          <w:tcPr>
            <w:tcW w:w="852" w:type="dxa"/>
            <w:tcBorders>
              <w:top w:val="single" w:sz="4" w:space="0" w:color="auto"/>
            </w:tcBorders>
          </w:tcPr>
          <w:p w14:paraId="40E827D8" w14:textId="068BDE26"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1.756</w:t>
            </w:r>
          </w:p>
        </w:tc>
        <w:tc>
          <w:tcPr>
            <w:tcW w:w="992" w:type="dxa"/>
            <w:tcBorders>
              <w:top w:val="single" w:sz="4" w:space="0" w:color="auto"/>
            </w:tcBorders>
          </w:tcPr>
          <w:p w14:paraId="254D63D6" w14:textId="3ED61399"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0.514</w:t>
            </w:r>
          </w:p>
        </w:tc>
        <w:tc>
          <w:tcPr>
            <w:tcW w:w="567" w:type="dxa"/>
            <w:tcBorders>
              <w:top w:val="single" w:sz="4" w:space="0" w:color="auto"/>
            </w:tcBorders>
          </w:tcPr>
          <w:p w14:paraId="24FBBE78" w14:textId="35BAAC79"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1.946</w:t>
            </w:r>
          </w:p>
        </w:tc>
      </w:tr>
      <w:tr w:rsidR="00107B20" w:rsidRPr="00B07B0D" w14:paraId="4A3F20DA" w14:textId="77777777" w:rsidTr="005C23ED">
        <w:trPr>
          <w:trHeight w:val="2"/>
          <w:jc w:val="center"/>
        </w:trPr>
        <w:tc>
          <w:tcPr>
            <w:tcW w:w="1286" w:type="dxa"/>
          </w:tcPr>
          <w:p w14:paraId="2B791590" w14:textId="422E19E1" w:rsidR="000E54D7" w:rsidRPr="00B07B0D" w:rsidRDefault="000E54D7" w:rsidP="000E54D7">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BD_SIZE</w:t>
            </w:r>
          </w:p>
        </w:tc>
        <w:tc>
          <w:tcPr>
            <w:tcW w:w="891" w:type="dxa"/>
          </w:tcPr>
          <w:p w14:paraId="5F3D0EC6" w14:textId="7C36781F"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0.868</w:t>
            </w:r>
          </w:p>
        </w:tc>
        <w:tc>
          <w:tcPr>
            <w:tcW w:w="567" w:type="dxa"/>
          </w:tcPr>
          <w:p w14:paraId="446CBD7D" w14:textId="50AB49AD"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1.152</w:t>
            </w:r>
          </w:p>
        </w:tc>
        <w:tc>
          <w:tcPr>
            <w:tcW w:w="890" w:type="dxa"/>
          </w:tcPr>
          <w:p w14:paraId="1AAE2C0B" w14:textId="56365AF9"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0.862</w:t>
            </w:r>
          </w:p>
        </w:tc>
        <w:tc>
          <w:tcPr>
            <w:tcW w:w="567" w:type="dxa"/>
          </w:tcPr>
          <w:p w14:paraId="26DC6E5A" w14:textId="7E4CD639"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1.160</w:t>
            </w:r>
          </w:p>
        </w:tc>
        <w:tc>
          <w:tcPr>
            <w:tcW w:w="891" w:type="dxa"/>
          </w:tcPr>
          <w:p w14:paraId="718229B1" w14:textId="64C34BC1"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0.842</w:t>
            </w:r>
          </w:p>
        </w:tc>
        <w:tc>
          <w:tcPr>
            <w:tcW w:w="852" w:type="dxa"/>
          </w:tcPr>
          <w:p w14:paraId="29865194" w14:textId="333E1F7A"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1.187</w:t>
            </w:r>
          </w:p>
        </w:tc>
        <w:tc>
          <w:tcPr>
            <w:tcW w:w="992" w:type="dxa"/>
          </w:tcPr>
          <w:p w14:paraId="20F4725C" w14:textId="714A6887"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0.874</w:t>
            </w:r>
          </w:p>
        </w:tc>
        <w:tc>
          <w:tcPr>
            <w:tcW w:w="567" w:type="dxa"/>
          </w:tcPr>
          <w:p w14:paraId="5CD3F3DC" w14:textId="4E9901BF"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1.144</w:t>
            </w:r>
          </w:p>
        </w:tc>
      </w:tr>
      <w:tr w:rsidR="00107B20" w:rsidRPr="00B07B0D" w14:paraId="2286C568" w14:textId="77777777" w:rsidTr="005C23ED">
        <w:trPr>
          <w:trHeight w:val="2"/>
          <w:jc w:val="center"/>
        </w:trPr>
        <w:tc>
          <w:tcPr>
            <w:tcW w:w="1286" w:type="dxa"/>
          </w:tcPr>
          <w:p w14:paraId="72DC348B" w14:textId="7DA39F88" w:rsidR="000E54D7" w:rsidRPr="00B07B0D" w:rsidRDefault="000E54D7" w:rsidP="000E54D7">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NON_EXEC</w:t>
            </w:r>
          </w:p>
        </w:tc>
        <w:tc>
          <w:tcPr>
            <w:tcW w:w="891" w:type="dxa"/>
          </w:tcPr>
          <w:p w14:paraId="04D8A12D" w14:textId="26B3CCF7"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0.731</w:t>
            </w:r>
          </w:p>
        </w:tc>
        <w:tc>
          <w:tcPr>
            <w:tcW w:w="567" w:type="dxa"/>
          </w:tcPr>
          <w:p w14:paraId="05ABE563" w14:textId="5ACAE26A"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1.367</w:t>
            </w:r>
          </w:p>
        </w:tc>
        <w:tc>
          <w:tcPr>
            <w:tcW w:w="890" w:type="dxa"/>
          </w:tcPr>
          <w:p w14:paraId="2E8BB69F" w14:textId="345CEFAC"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0.771</w:t>
            </w:r>
          </w:p>
        </w:tc>
        <w:tc>
          <w:tcPr>
            <w:tcW w:w="567" w:type="dxa"/>
          </w:tcPr>
          <w:p w14:paraId="40E9B952" w14:textId="6C637A4A"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1.297</w:t>
            </w:r>
          </w:p>
        </w:tc>
        <w:tc>
          <w:tcPr>
            <w:tcW w:w="891" w:type="dxa"/>
          </w:tcPr>
          <w:p w14:paraId="6177442C" w14:textId="3F575CCC"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0.770</w:t>
            </w:r>
          </w:p>
        </w:tc>
        <w:tc>
          <w:tcPr>
            <w:tcW w:w="852" w:type="dxa"/>
          </w:tcPr>
          <w:p w14:paraId="377F2D78" w14:textId="158FD7F4"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1.299</w:t>
            </w:r>
          </w:p>
        </w:tc>
        <w:tc>
          <w:tcPr>
            <w:tcW w:w="992" w:type="dxa"/>
          </w:tcPr>
          <w:p w14:paraId="25001423" w14:textId="4A5C56F3"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0.768</w:t>
            </w:r>
          </w:p>
        </w:tc>
        <w:tc>
          <w:tcPr>
            <w:tcW w:w="567" w:type="dxa"/>
          </w:tcPr>
          <w:p w14:paraId="0F113765" w14:textId="538081AA"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1.302</w:t>
            </w:r>
          </w:p>
        </w:tc>
      </w:tr>
      <w:tr w:rsidR="00107B20" w:rsidRPr="00B07B0D" w14:paraId="62855082" w14:textId="77777777" w:rsidTr="005C23ED">
        <w:trPr>
          <w:trHeight w:val="2"/>
          <w:jc w:val="center"/>
        </w:trPr>
        <w:tc>
          <w:tcPr>
            <w:tcW w:w="1286" w:type="dxa"/>
          </w:tcPr>
          <w:p w14:paraId="274FE499" w14:textId="092C1999" w:rsidR="000E54D7" w:rsidRPr="00B07B0D" w:rsidRDefault="000E54D7" w:rsidP="000E54D7">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BD_ATT</w:t>
            </w:r>
          </w:p>
        </w:tc>
        <w:tc>
          <w:tcPr>
            <w:tcW w:w="891" w:type="dxa"/>
          </w:tcPr>
          <w:p w14:paraId="3F0195CD" w14:textId="03FB4B5A"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0.975</w:t>
            </w:r>
          </w:p>
        </w:tc>
        <w:tc>
          <w:tcPr>
            <w:tcW w:w="567" w:type="dxa"/>
          </w:tcPr>
          <w:p w14:paraId="3ADCB99B" w14:textId="5A866115"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1.026</w:t>
            </w:r>
          </w:p>
        </w:tc>
        <w:tc>
          <w:tcPr>
            <w:tcW w:w="890" w:type="dxa"/>
          </w:tcPr>
          <w:p w14:paraId="40C94ADF" w14:textId="704754F8"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0.973</w:t>
            </w:r>
          </w:p>
        </w:tc>
        <w:tc>
          <w:tcPr>
            <w:tcW w:w="567" w:type="dxa"/>
          </w:tcPr>
          <w:p w14:paraId="054A2582" w14:textId="7B938EF9"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1.028</w:t>
            </w:r>
          </w:p>
        </w:tc>
        <w:tc>
          <w:tcPr>
            <w:tcW w:w="891" w:type="dxa"/>
          </w:tcPr>
          <w:p w14:paraId="088D8D33" w14:textId="66E0E16A"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0.954</w:t>
            </w:r>
          </w:p>
        </w:tc>
        <w:tc>
          <w:tcPr>
            <w:tcW w:w="852" w:type="dxa"/>
          </w:tcPr>
          <w:p w14:paraId="396E8E02" w14:textId="5C347C31"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1.048</w:t>
            </w:r>
          </w:p>
        </w:tc>
        <w:tc>
          <w:tcPr>
            <w:tcW w:w="992" w:type="dxa"/>
          </w:tcPr>
          <w:p w14:paraId="614AAA35" w14:textId="648D5816"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0.977</w:t>
            </w:r>
          </w:p>
        </w:tc>
        <w:tc>
          <w:tcPr>
            <w:tcW w:w="567" w:type="dxa"/>
          </w:tcPr>
          <w:p w14:paraId="08709809" w14:textId="1D79409A"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1.024</w:t>
            </w:r>
          </w:p>
        </w:tc>
      </w:tr>
      <w:tr w:rsidR="00107B20" w:rsidRPr="00B07B0D" w14:paraId="18B9CA09" w14:textId="77777777" w:rsidTr="005C23ED">
        <w:trPr>
          <w:trHeight w:val="2"/>
          <w:jc w:val="center"/>
        </w:trPr>
        <w:tc>
          <w:tcPr>
            <w:tcW w:w="1286" w:type="dxa"/>
          </w:tcPr>
          <w:p w14:paraId="2F6E70C1" w14:textId="7BDEB95A" w:rsidR="000E54D7" w:rsidRPr="00B07B0D" w:rsidRDefault="000E54D7" w:rsidP="000E54D7">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GEN_BD</w:t>
            </w:r>
          </w:p>
        </w:tc>
        <w:tc>
          <w:tcPr>
            <w:tcW w:w="891" w:type="dxa"/>
          </w:tcPr>
          <w:p w14:paraId="3AE87AAC" w14:textId="06983BF8"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0.906</w:t>
            </w:r>
          </w:p>
        </w:tc>
        <w:tc>
          <w:tcPr>
            <w:tcW w:w="567" w:type="dxa"/>
          </w:tcPr>
          <w:p w14:paraId="03B6FB2B" w14:textId="19414A53"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1.103</w:t>
            </w:r>
          </w:p>
        </w:tc>
        <w:tc>
          <w:tcPr>
            <w:tcW w:w="890" w:type="dxa"/>
          </w:tcPr>
          <w:p w14:paraId="1DCE5C91" w14:textId="78CD1296"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0.950</w:t>
            </w:r>
          </w:p>
        </w:tc>
        <w:tc>
          <w:tcPr>
            <w:tcW w:w="567" w:type="dxa"/>
          </w:tcPr>
          <w:p w14:paraId="10C1E625" w14:textId="6E4F0CC9"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1.053</w:t>
            </w:r>
          </w:p>
        </w:tc>
        <w:tc>
          <w:tcPr>
            <w:tcW w:w="891" w:type="dxa"/>
          </w:tcPr>
          <w:p w14:paraId="79A6C725" w14:textId="69AA6471"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0.953</w:t>
            </w:r>
          </w:p>
        </w:tc>
        <w:tc>
          <w:tcPr>
            <w:tcW w:w="852" w:type="dxa"/>
          </w:tcPr>
          <w:p w14:paraId="0E32CF01" w14:textId="48DC32C5"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1.049</w:t>
            </w:r>
          </w:p>
        </w:tc>
        <w:tc>
          <w:tcPr>
            <w:tcW w:w="992" w:type="dxa"/>
          </w:tcPr>
          <w:p w14:paraId="4E3C16E1" w14:textId="429482BD"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0.951</w:t>
            </w:r>
          </w:p>
        </w:tc>
        <w:tc>
          <w:tcPr>
            <w:tcW w:w="567" w:type="dxa"/>
          </w:tcPr>
          <w:p w14:paraId="72469472" w14:textId="566857F6"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1.052</w:t>
            </w:r>
          </w:p>
        </w:tc>
      </w:tr>
      <w:tr w:rsidR="00107B20" w:rsidRPr="00B07B0D" w14:paraId="62FAA23E" w14:textId="77777777" w:rsidTr="005C23ED">
        <w:trPr>
          <w:trHeight w:val="2"/>
          <w:jc w:val="center"/>
        </w:trPr>
        <w:tc>
          <w:tcPr>
            <w:tcW w:w="1286" w:type="dxa"/>
          </w:tcPr>
          <w:p w14:paraId="2A886F0C" w14:textId="2A79A96F" w:rsidR="000E54D7" w:rsidRPr="00B07B0D" w:rsidRDefault="000E54D7" w:rsidP="000E54D7">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GEN_EXEC</w:t>
            </w:r>
          </w:p>
        </w:tc>
        <w:tc>
          <w:tcPr>
            <w:tcW w:w="891" w:type="dxa"/>
          </w:tcPr>
          <w:p w14:paraId="4F18E68A" w14:textId="7C036742"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0.952</w:t>
            </w:r>
          </w:p>
        </w:tc>
        <w:tc>
          <w:tcPr>
            <w:tcW w:w="567" w:type="dxa"/>
          </w:tcPr>
          <w:p w14:paraId="09512B68" w14:textId="299D4896"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1.051</w:t>
            </w:r>
          </w:p>
        </w:tc>
        <w:tc>
          <w:tcPr>
            <w:tcW w:w="890" w:type="dxa"/>
          </w:tcPr>
          <w:p w14:paraId="09FADE25" w14:textId="11F674D7"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0.967</w:t>
            </w:r>
          </w:p>
        </w:tc>
        <w:tc>
          <w:tcPr>
            <w:tcW w:w="567" w:type="dxa"/>
          </w:tcPr>
          <w:p w14:paraId="7828EF1B" w14:textId="36ED277C"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1.035</w:t>
            </w:r>
          </w:p>
        </w:tc>
        <w:tc>
          <w:tcPr>
            <w:tcW w:w="891" w:type="dxa"/>
          </w:tcPr>
          <w:p w14:paraId="5569CB74" w14:textId="43108F8C"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0.954</w:t>
            </w:r>
          </w:p>
        </w:tc>
        <w:tc>
          <w:tcPr>
            <w:tcW w:w="852" w:type="dxa"/>
          </w:tcPr>
          <w:p w14:paraId="56AF09AA" w14:textId="6D5FBCFB"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1.048</w:t>
            </w:r>
          </w:p>
        </w:tc>
        <w:tc>
          <w:tcPr>
            <w:tcW w:w="992" w:type="dxa"/>
          </w:tcPr>
          <w:p w14:paraId="1412A783" w14:textId="0CE1E232"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0.973</w:t>
            </w:r>
          </w:p>
        </w:tc>
        <w:tc>
          <w:tcPr>
            <w:tcW w:w="567" w:type="dxa"/>
          </w:tcPr>
          <w:p w14:paraId="2AB0FD85" w14:textId="50AF5920"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1.028</w:t>
            </w:r>
          </w:p>
        </w:tc>
      </w:tr>
      <w:tr w:rsidR="00107B20" w:rsidRPr="00B07B0D" w14:paraId="3A74BC05" w14:textId="77777777" w:rsidTr="005C23ED">
        <w:trPr>
          <w:trHeight w:val="2"/>
          <w:jc w:val="center"/>
        </w:trPr>
        <w:tc>
          <w:tcPr>
            <w:tcW w:w="1286" w:type="dxa"/>
          </w:tcPr>
          <w:p w14:paraId="442F16F0" w14:textId="1865C4FE" w:rsidR="000E54D7" w:rsidRPr="00B07B0D" w:rsidRDefault="000E54D7" w:rsidP="000E54D7">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AUD_EXP</w:t>
            </w:r>
          </w:p>
        </w:tc>
        <w:tc>
          <w:tcPr>
            <w:tcW w:w="891" w:type="dxa"/>
          </w:tcPr>
          <w:p w14:paraId="5D8FDD09" w14:textId="21EA3E4A"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0.969</w:t>
            </w:r>
          </w:p>
        </w:tc>
        <w:tc>
          <w:tcPr>
            <w:tcW w:w="567" w:type="dxa"/>
          </w:tcPr>
          <w:p w14:paraId="731F9907" w14:textId="32646950"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1.032</w:t>
            </w:r>
          </w:p>
        </w:tc>
        <w:tc>
          <w:tcPr>
            <w:tcW w:w="890" w:type="dxa"/>
          </w:tcPr>
          <w:p w14:paraId="1E3E9DED" w14:textId="5128E007"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0.956</w:t>
            </w:r>
          </w:p>
        </w:tc>
        <w:tc>
          <w:tcPr>
            <w:tcW w:w="567" w:type="dxa"/>
          </w:tcPr>
          <w:p w14:paraId="633D54A7" w14:textId="28274EB3"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1.046</w:t>
            </w:r>
          </w:p>
        </w:tc>
        <w:tc>
          <w:tcPr>
            <w:tcW w:w="891" w:type="dxa"/>
          </w:tcPr>
          <w:p w14:paraId="42E5766A" w14:textId="070300EC"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0.951</w:t>
            </w:r>
          </w:p>
        </w:tc>
        <w:tc>
          <w:tcPr>
            <w:tcW w:w="852" w:type="dxa"/>
          </w:tcPr>
          <w:p w14:paraId="77FCA1FD" w14:textId="194713AF"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1.051</w:t>
            </w:r>
          </w:p>
        </w:tc>
        <w:tc>
          <w:tcPr>
            <w:tcW w:w="992" w:type="dxa"/>
          </w:tcPr>
          <w:p w14:paraId="31DF4CD0" w14:textId="56CAF205"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0.951</w:t>
            </w:r>
          </w:p>
        </w:tc>
        <w:tc>
          <w:tcPr>
            <w:tcW w:w="567" w:type="dxa"/>
          </w:tcPr>
          <w:p w14:paraId="5E92A299" w14:textId="42B394AA"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1.051</w:t>
            </w:r>
          </w:p>
        </w:tc>
      </w:tr>
      <w:tr w:rsidR="00107B20" w:rsidRPr="00B07B0D" w14:paraId="7AA848AF" w14:textId="77777777" w:rsidTr="005C23ED">
        <w:trPr>
          <w:trHeight w:val="2"/>
          <w:jc w:val="center"/>
        </w:trPr>
        <w:tc>
          <w:tcPr>
            <w:tcW w:w="1286" w:type="dxa"/>
          </w:tcPr>
          <w:p w14:paraId="2B5DEFFF" w14:textId="13430A8F" w:rsidR="000E54D7" w:rsidRPr="00B07B0D" w:rsidRDefault="000E54D7" w:rsidP="000E54D7">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AUD_NONEX</w:t>
            </w:r>
          </w:p>
        </w:tc>
        <w:tc>
          <w:tcPr>
            <w:tcW w:w="891" w:type="dxa"/>
          </w:tcPr>
          <w:p w14:paraId="4DCCDDDB" w14:textId="6F6CC768"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0.752</w:t>
            </w:r>
          </w:p>
        </w:tc>
        <w:tc>
          <w:tcPr>
            <w:tcW w:w="567" w:type="dxa"/>
          </w:tcPr>
          <w:p w14:paraId="4767FAB1" w14:textId="3B2ACFD3"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1.329</w:t>
            </w:r>
          </w:p>
        </w:tc>
        <w:tc>
          <w:tcPr>
            <w:tcW w:w="890" w:type="dxa"/>
          </w:tcPr>
          <w:p w14:paraId="7B0933DC" w14:textId="7473B2FB"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0.752</w:t>
            </w:r>
          </w:p>
        </w:tc>
        <w:tc>
          <w:tcPr>
            <w:tcW w:w="567" w:type="dxa"/>
          </w:tcPr>
          <w:p w14:paraId="2B177DC7" w14:textId="15A64584"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1.329</w:t>
            </w:r>
          </w:p>
        </w:tc>
        <w:tc>
          <w:tcPr>
            <w:tcW w:w="891" w:type="dxa"/>
          </w:tcPr>
          <w:p w14:paraId="3F4102B3" w14:textId="26C59606"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0.737</w:t>
            </w:r>
          </w:p>
        </w:tc>
        <w:tc>
          <w:tcPr>
            <w:tcW w:w="852" w:type="dxa"/>
          </w:tcPr>
          <w:p w14:paraId="3C116AD7" w14:textId="05191915"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1.357</w:t>
            </w:r>
          </w:p>
        </w:tc>
        <w:tc>
          <w:tcPr>
            <w:tcW w:w="992" w:type="dxa"/>
          </w:tcPr>
          <w:p w14:paraId="033C7D78" w14:textId="2EE3F73F"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0.760</w:t>
            </w:r>
          </w:p>
        </w:tc>
        <w:tc>
          <w:tcPr>
            <w:tcW w:w="567" w:type="dxa"/>
          </w:tcPr>
          <w:p w14:paraId="42A62362" w14:textId="7A9103B3"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1.317</w:t>
            </w:r>
          </w:p>
        </w:tc>
      </w:tr>
      <w:tr w:rsidR="00107B20" w:rsidRPr="00B07B0D" w14:paraId="5BEC569B" w14:textId="77777777" w:rsidTr="005C23ED">
        <w:trPr>
          <w:trHeight w:val="2"/>
          <w:jc w:val="center"/>
        </w:trPr>
        <w:tc>
          <w:tcPr>
            <w:tcW w:w="1286" w:type="dxa"/>
          </w:tcPr>
          <w:p w14:paraId="24F94980" w14:textId="0DF8D1F7" w:rsidR="000E54D7" w:rsidRPr="00B07B0D" w:rsidRDefault="000E54D7" w:rsidP="000E54D7">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AUD_IND</w:t>
            </w:r>
          </w:p>
        </w:tc>
        <w:tc>
          <w:tcPr>
            <w:tcW w:w="891" w:type="dxa"/>
          </w:tcPr>
          <w:p w14:paraId="0A858AF2" w14:textId="0E7741B1"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0.552</w:t>
            </w:r>
          </w:p>
        </w:tc>
        <w:tc>
          <w:tcPr>
            <w:tcW w:w="567" w:type="dxa"/>
          </w:tcPr>
          <w:p w14:paraId="4030186B" w14:textId="101FE5C4"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1.812</w:t>
            </w:r>
          </w:p>
        </w:tc>
        <w:tc>
          <w:tcPr>
            <w:tcW w:w="890" w:type="dxa"/>
          </w:tcPr>
          <w:p w14:paraId="102584AF" w14:textId="32BE481A"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0.561</w:t>
            </w:r>
          </w:p>
        </w:tc>
        <w:tc>
          <w:tcPr>
            <w:tcW w:w="567" w:type="dxa"/>
          </w:tcPr>
          <w:p w14:paraId="0A5FEFD0" w14:textId="48E0D441"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1.781</w:t>
            </w:r>
          </w:p>
        </w:tc>
        <w:tc>
          <w:tcPr>
            <w:tcW w:w="891" w:type="dxa"/>
          </w:tcPr>
          <w:p w14:paraId="1D7FC7EB" w14:textId="743B8E0A"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0.555</w:t>
            </w:r>
          </w:p>
        </w:tc>
        <w:tc>
          <w:tcPr>
            <w:tcW w:w="852" w:type="dxa"/>
          </w:tcPr>
          <w:p w14:paraId="4A25558B" w14:textId="2BC4F9F7"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1.802</w:t>
            </w:r>
          </w:p>
        </w:tc>
        <w:tc>
          <w:tcPr>
            <w:tcW w:w="992" w:type="dxa"/>
          </w:tcPr>
          <w:p w14:paraId="154F80CD" w14:textId="3EB63499"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0.516</w:t>
            </w:r>
          </w:p>
        </w:tc>
        <w:tc>
          <w:tcPr>
            <w:tcW w:w="567" w:type="dxa"/>
          </w:tcPr>
          <w:p w14:paraId="260D0101" w14:textId="6F0CB070"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1.938</w:t>
            </w:r>
          </w:p>
        </w:tc>
      </w:tr>
      <w:tr w:rsidR="00107B20" w:rsidRPr="00B07B0D" w14:paraId="764A2891" w14:textId="77777777" w:rsidTr="005C23ED">
        <w:trPr>
          <w:trHeight w:val="2"/>
          <w:jc w:val="center"/>
        </w:trPr>
        <w:tc>
          <w:tcPr>
            <w:tcW w:w="1286" w:type="dxa"/>
          </w:tcPr>
          <w:p w14:paraId="14C370F2" w14:textId="1D9BA52F" w:rsidR="000E54D7" w:rsidRPr="00B07B0D" w:rsidRDefault="000E54D7" w:rsidP="000E54D7">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INT_AUD</w:t>
            </w:r>
          </w:p>
        </w:tc>
        <w:tc>
          <w:tcPr>
            <w:tcW w:w="891" w:type="dxa"/>
          </w:tcPr>
          <w:p w14:paraId="28D0B853" w14:textId="54D9B73E"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0.984</w:t>
            </w:r>
          </w:p>
        </w:tc>
        <w:tc>
          <w:tcPr>
            <w:tcW w:w="567" w:type="dxa"/>
          </w:tcPr>
          <w:p w14:paraId="6A3C1BC5" w14:textId="3F57976C"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1.016</w:t>
            </w:r>
          </w:p>
        </w:tc>
        <w:tc>
          <w:tcPr>
            <w:tcW w:w="890" w:type="dxa"/>
          </w:tcPr>
          <w:p w14:paraId="1F0249AF" w14:textId="1E58D22B"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0.977</w:t>
            </w:r>
          </w:p>
        </w:tc>
        <w:tc>
          <w:tcPr>
            <w:tcW w:w="567" w:type="dxa"/>
          </w:tcPr>
          <w:p w14:paraId="35D16E61" w14:textId="50837D7B"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1.024</w:t>
            </w:r>
          </w:p>
        </w:tc>
        <w:tc>
          <w:tcPr>
            <w:tcW w:w="891" w:type="dxa"/>
          </w:tcPr>
          <w:p w14:paraId="3E8454BB" w14:textId="5F71CAEC"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0.972</w:t>
            </w:r>
          </w:p>
        </w:tc>
        <w:tc>
          <w:tcPr>
            <w:tcW w:w="852" w:type="dxa"/>
          </w:tcPr>
          <w:p w14:paraId="75B36D6F" w14:textId="2B82A783"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1.029</w:t>
            </w:r>
          </w:p>
        </w:tc>
        <w:tc>
          <w:tcPr>
            <w:tcW w:w="992" w:type="dxa"/>
          </w:tcPr>
          <w:p w14:paraId="7F7A43EA" w14:textId="4E611605"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0.971</w:t>
            </w:r>
          </w:p>
        </w:tc>
        <w:tc>
          <w:tcPr>
            <w:tcW w:w="567" w:type="dxa"/>
          </w:tcPr>
          <w:p w14:paraId="108C6D4F" w14:textId="7D9697F4"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1.029</w:t>
            </w:r>
          </w:p>
        </w:tc>
      </w:tr>
      <w:tr w:rsidR="00107B20" w:rsidRPr="00B07B0D" w14:paraId="4C762F65" w14:textId="77777777" w:rsidTr="005C23ED">
        <w:trPr>
          <w:trHeight w:val="2"/>
          <w:jc w:val="center"/>
        </w:trPr>
        <w:tc>
          <w:tcPr>
            <w:tcW w:w="1286" w:type="dxa"/>
          </w:tcPr>
          <w:p w14:paraId="55444131" w14:textId="771CB53E" w:rsidR="000E54D7" w:rsidRPr="00B07B0D" w:rsidRDefault="000E54D7" w:rsidP="000E54D7">
            <w:pPr>
              <w:jc w:val="left"/>
              <w:rPr>
                <w:rFonts w:ascii="Times New Roman" w:hAnsi="Times New Roman" w:cs="Times New Roman"/>
                <w:sz w:val="20"/>
                <w:szCs w:val="20"/>
                <w:lang w:val="en-US"/>
              </w:rPr>
            </w:pPr>
            <w:r w:rsidRPr="00B07B0D">
              <w:rPr>
                <w:rFonts w:ascii="Times New Roman" w:hAnsi="Times New Roman" w:cs="Times New Roman"/>
                <w:sz w:val="20"/>
                <w:szCs w:val="20"/>
                <w:lang w:val="en-US"/>
              </w:rPr>
              <w:t>SIZE</w:t>
            </w:r>
          </w:p>
        </w:tc>
        <w:tc>
          <w:tcPr>
            <w:tcW w:w="891" w:type="dxa"/>
          </w:tcPr>
          <w:p w14:paraId="3685DA68" w14:textId="133B3BE8"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0.911</w:t>
            </w:r>
          </w:p>
        </w:tc>
        <w:tc>
          <w:tcPr>
            <w:tcW w:w="567" w:type="dxa"/>
          </w:tcPr>
          <w:p w14:paraId="481886F2" w14:textId="6275EEFF"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1.098</w:t>
            </w:r>
          </w:p>
        </w:tc>
        <w:tc>
          <w:tcPr>
            <w:tcW w:w="890" w:type="dxa"/>
          </w:tcPr>
          <w:p w14:paraId="6FFDD079" w14:textId="615EA3EC"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0.900</w:t>
            </w:r>
          </w:p>
        </w:tc>
        <w:tc>
          <w:tcPr>
            <w:tcW w:w="567" w:type="dxa"/>
          </w:tcPr>
          <w:p w14:paraId="773394A2" w14:textId="06C3752C"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1.111</w:t>
            </w:r>
          </w:p>
        </w:tc>
        <w:tc>
          <w:tcPr>
            <w:tcW w:w="891" w:type="dxa"/>
          </w:tcPr>
          <w:p w14:paraId="10DA1399" w14:textId="1372C3B2"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0.885</w:t>
            </w:r>
          </w:p>
        </w:tc>
        <w:tc>
          <w:tcPr>
            <w:tcW w:w="852" w:type="dxa"/>
          </w:tcPr>
          <w:p w14:paraId="192E9B18" w14:textId="34CA4BAC"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1.130</w:t>
            </w:r>
          </w:p>
        </w:tc>
        <w:tc>
          <w:tcPr>
            <w:tcW w:w="992" w:type="dxa"/>
          </w:tcPr>
          <w:p w14:paraId="2C009846" w14:textId="4FC5CE50"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0.907</w:t>
            </w:r>
          </w:p>
        </w:tc>
        <w:tc>
          <w:tcPr>
            <w:tcW w:w="567" w:type="dxa"/>
          </w:tcPr>
          <w:p w14:paraId="2DDE83E2" w14:textId="7288C22E" w:rsidR="000E54D7" w:rsidRPr="00B07B0D" w:rsidRDefault="000E54D7" w:rsidP="00D60612">
            <w:pPr>
              <w:jc w:val="right"/>
              <w:rPr>
                <w:rFonts w:ascii="Times New Roman" w:hAnsi="Times New Roman" w:cs="Times New Roman"/>
                <w:sz w:val="20"/>
                <w:szCs w:val="20"/>
                <w:lang w:val="en-US"/>
              </w:rPr>
            </w:pPr>
            <w:r w:rsidRPr="00B07B0D">
              <w:rPr>
                <w:rFonts w:ascii="Times New Roman" w:hAnsi="Times New Roman" w:cs="Times New Roman"/>
                <w:sz w:val="20"/>
                <w:szCs w:val="20"/>
                <w:lang w:val="en-US"/>
              </w:rPr>
              <w:t>1.102</w:t>
            </w:r>
          </w:p>
        </w:tc>
      </w:tr>
    </w:tbl>
    <w:p w14:paraId="71CB2054" w14:textId="7E0F28CC" w:rsidR="001466C3" w:rsidRPr="003D1CD8" w:rsidRDefault="001466C3" w:rsidP="0044122F">
      <w:pPr>
        <w:jc w:val="center"/>
        <w:rPr>
          <w:iCs/>
          <w:sz w:val="20"/>
          <w:szCs w:val="20"/>
          <w:lang w:val="en-US"/>
        </w:rPr>
      </w:pPr>
      <w:r w:rsidRPr="003D1CD8">
        <w:rPr>
          <w:i/>
          <w:iCs/>
          <w:sz w:val="20"/>
          <w:szCs w:val="20"/>
          <w:lang w:val="en-US"/>
        </w:rPr>
        <w:t>Source</w:t>
      </w:r>
      <w:r w:rsidRPr="003D1CD8">
        <w:rPr>
          <w:iCs/>
          <w:sz w:val="20"/>
          <w:szCs w:val="20"/>
          <w:lang w:val="en-US"/>
        </w:rPr>
        <w:t>: Authors’ own research</w:t>
      </w:r>
    </w:p>
    <w:p w14:paraId="10C7BEFD" w14:textId="2A0BC23E" w:rsidR="007D716E" w:rsidRPr="00B07B0D" w:rsidRDefault="007D716E" w:rsidP="006E29E8">
      <w:pPr>
        <w:rPr>
          <w:lang w:val="en-US"/>
        </w:rPr>
      </w:pPr>
    </w:p>
    <w:p w14:paraId="090C6FEB" w14:textId="6CC3792D" w:rsidR="000E2452" w:rsidRPr="00B07B0D" w:rsidRDefault="000E2452" w:rsidP="000E2452">
      <w:pPr>
        <w:rPr>
          <w:lang w:val="en-US"/>
        </w:rPr>
      </w:pPr>
      <w:r w:rsidRPr="00B07B0D">
        <w:rPr>
          <w:lang w:val="en-US"/>
        </w:rPr>
        <w:t xml:space="preserve">The </w:t>
      </w:r>
      <w:r w:rsidR="003A5409" w:rsidRPr="00B07B0D">
        <w:rPr>
          <w:lang w:val="en-US"/>
        </w:rPr>
        <w:t xml:space="preserve">variance inflation factor </w:t>
      </w:r>
      <w:r w:rsidRPr="00B07B0D">
        <w:rPr>
          <w:lang w:val="en-US"/>
        </w:rPr>
        <w:t>(VIF) values demonstrate the absence of multicollinearity among the independent variables and confirm the stability of the econometric model for the entire period analyzed (2021–2024).</w:t>
      </w:r>
      <w:r w:rsidR="006F5D0F">
        <w:rPr>
          <w:lang w:val="en-US"/>
        </w:rPr>
        <w:t xml:space="preserve"> </w:t>
      </w:r>
      <w:r w:rsidRPr="00B07B0D">
        <w:rPr>
          <w:lang w:val="en-US"/>
        </w:rPr>
        <w:t xml:space="preserve">The maximum VIF values were identified in 2024 for board independence (BD_IND) (1.946) and audit committee independence (AUD_IND) (1.938). Although these represent the upper thresholds of the sample, they remain significantly below the critical limit of 5, refuting the presence of multicollinearity. At the same time, the Tolerance index values, which consistently exceed the threshold of 0.50, confirm an optimal degree of independent variation among the predictors used in the regression model. </w:t>
      </w:r>
      <w:r w:rsidR="00CC6DFB" w:rsidRPr="00B07B0D">
        <w:rPr>
          <w:lang w:val="en-US"/>
        </w:rPr>
        <w:t>Thus, the results indicate that the impact of board size (BD_SIZE), audit committee structure (AUD_IND, AUD_EXP, AUD_NONEX), and internal audit reporting (INT_AUD) on EBITDA is assessed independently and accurately, without the variables distorting one another.</w:t>
      </w:r>
    </w:p>
    <w:p w14:paraId="12C23352" w14:textId="77777777" w:rsidR="000E2452" w:rsidRPr="00B07B0D" w:rsidRDefault="000E2452" w:rsidP="000E2452">
      <w:pPr>
        <w:rPr>
          <w:lang w:val="en-US"/>
        </w:rPr>
      </w:pPr>
    </w:p>
    <w:p w14:paraId="65D41153" w14:textId="77777777" w:rsidR="000E2452" w:rsidRPr="00B07B0D" w:rsidRDefault="000E2452" w:rsidP="000E2452">
      <w:pPr>
        <w:rPr>
          <w:lang w:val="en-US"/>
        </w:rPr>
      </w:pPr>
      <w:r w:rsidRPr="00B07B0D">
        <w:rPr>
          <w:lang w:val="en-US"/>
        </w:rPr>
        <w:t>Therefore, based on the regression models developed for the 2021–2024 period, the results reveal a selective relationship between corporate governance mechanisms and financial performance (EBITDA).</w:t>
      </w:r>
    </w:p>
    <w:p w14:paraId="13A98B86" w14:textId="77777777" w:rsidR="000E2452" w:rsidRPr="00B07B0D" w:rsidRDefault="000E2452" w:rsidP="000E2452">
      <w:pPr>
        <w:rPr>
          <w:lang w:val="en-US"/>
        </w:rPr>
      </w:pPr>
      <w:r w:rsidRPr="00B07B0D">
        <w:rPr>
          <w:lang w:val="en-US"/>
        </w:rPr>
        <w:t xml:space="preserve">Board size is the only governance variable that exerts a significant, positive, and consistent impact on financial performance, as measured by EBITDA.  This result supports </w:t>
      </w:r>
      <w:proofErr w:type="spellStart"/>
      <w:r w:rsidRPr="00B07B0D">
        <w:rPr>
          <w:lang w:val="en-US"/>
        </w:rPr>
        <w:t>Melón-Izco’s</w:t>
      </w:r>
      <w:proofErr w:type="spellEnd"/>
      <w:r w:rsidRPr="00B07B0D">
        <w:rPr>
          <w:lang w:val="en-US"/>
        </w:rPr>
        <w:t xml:space="preserve"> conclusions, demonstrating that during periods of economic volatility, a larger board has a significant impact on strategic decision-making processes. </w:t>
      </w:r>
    </w:p>
    <w:p w14:paraId="6A5A5C82" w14:textId="77777777" w:rsidR="000E2452" w:rsidRPr="00B07B0D" w:rsidRDefault="000E2452" w:rsidP="000E2452">
      <w:pPr>
        <w:rPr>
          <w:lang w:val="en-US"/>
        </w:rPr>
      </w:pPr>
    </w:p>
    <w:p w14:paraId="52E21375" w14:textId="279BD659" w:rsidR="000E2452" w:rsidRPr="00B07B0D" w:rsidRDefault="000E2452" w:rsidP="000E2452">
      <w:pPr>
        <w:rPr>
          <w:lang w:val="en-US"/>
        </w:rPr>
      </w:pPr>
      <w:r w:rsidRPr="00B07B0D">
        <w:rPr>
          <w:lang w:val="en-US"/>
        </w:rPr>
        <w:t xml:space="preserve">On the other hand, the fluctuating influence of member independence (BD_IND) suggests that it does not automatically ensure profitability, but rather acts as a balancing mechanism (Agency Theory) in times of uncertainty. This observation qualifies the perspective of </w:t>
      </w:r>
      <w:proofErr w:type="spellStart"/>
      <w:r w:rsidRPr="00B07B0D">
        <w:rPr>
          <w:lang w:val="en-US"/>
        </w:rPr>
        <w:t>Ionașcu</w:t>
      </w:r>
      <w:proofErr w:type="spellEnd"/>
      <w:r w:rsidRPr="00B07B0D">
        <w:rPr>
          <w:lang w:val="en-US"/>
        </w:rPr>
        <w:t xml:space="preserve"> </w:t>
      </w:r>
      <w:r w:rsidRPr="00B07B0D">
        <w:rPr>
          <w:i/>
          <w:iCs/>
          <w:lang w:val="en-US"/>
        </w:rPr>
        <w:t>et al</w:t>
      </w:r>
      <w:r w:rsidRPr="00B07B0D">
        <w:rPr>
          <w:lang w:val="en-US"/>
        </w:rPr>
        <w:t>. (2018), indicating that the market values independence differently depending on the annual macroeconomic context.</w:t>
      </w:r>
    </w:p>
    <w:p w14:paraId="2375292C" w14:textId="77777777" w:rsidR="000E2452" w:rsidRPr="00B07B0D" w:rsidRDefault="000E2452" w:rsidP="000E2452">
      <w:pPr>
        <w:rPr>
          <w:lang w:val="en-US"/>
        </w:rPr>
      </w:pPr>
    </w:p>
    <w:p w14:paraId="44E7E1B0" w14:textId="77777777" w:rsidR="000E2452" w:rsidRPr="00B07B0D" w:rsidRDefault="000E2452" w:rsidP="000E2452">
      <w:pPr>
        <w:rPr>
          <w:lang w:val="en-US"/>
        </w:rPr>
      </w:pPr>
      <w:r w:rsidRPr="00B07B0D">
        <w:rPr>
          <w:lang w:val="en-US"/>
        </w:rPr>
        <w:t>With regard to the characteristics of the audit committee (AUD_IND, AUD_EXP, INT_AUD), the results of the analysis indicate that these do not have a statistically significant impact on financial performance as measured by EBITDA. This finding does not undermine the value of auditing, but rather indicates a clear delineation of roles: internal audit acts as a mechanism for assurance and compliance (risk reduction, reporting integrity), while gross operating performance (EBITDA) remains the domain of strategic decisions and market conditions. Thus, the role-delimitation model proposed by Tušek (2015) is validated.</w:t>
      </w:r>
    </w:p>
    <w:p w14:paraId="0ECA0085" w14:textId="77777777" w:rsidR="000E2452" w:rsidRPr="00B07B0D" w:rsidRDefault="000E2452" w:rsidP="000E2452">
      <w:pPr>
        <w:rPr>
          <w:lang w:val="en-US"/>
        </w:rPr>
      </w:pPr>
    </w:p>
    <w:p w14:paraId="7682B126" w14:textId="77777777" w:rsidR="000E2452" w:rsidRPr="00B07B0D" w:rsidRDefault="000E2452" w:rsidP="000E2452">
      <w:pPr>
        <w:rPr>
          <w:lang w:val="en-US"/>
        </w:rPr>
      </w:pPr>
      <w:r w:rsidRPr="00B07B0D">
        <w:rPr>
          <w:lang w:val="en-US"/>
        </w:rPr>
        <w:t xml:space="preserve">In contrast, firm size (SIZE) confirmed, in line with </w:t>
      </w:r>
      <w:proofErr w:type="spellStart"/>
      <w:r w:rsidRPr="00B07B0D">
        <w:rPr>
          <w:lang w:val="en-US"/>
        </w:rPr>
        <w:t>Ionașcu</w:t>
      </w:r>
      <w:proofErr w:type="spellEnd"/>
      <w:r w:rsidRPr="00B07B0D">
        <w:rPr>
          <w:lang w:val="en-US"/>
        </w:rPr>
        <w:t xml:space="preserve"> </w:t>
      </w:r>
      <w:r w:rsidRPr="003A5409">
        <w:rPr>
          <w:i/>
          <w:iCs/>
          <w:lang w:val="en-US"/>
        </w:rPr>
        <w:t>et al.</w:t>
      </w:r>
      <w:r w:rsidRPr="00B07B0D">
        <w:rPr>
          <w:lang w:val="en-US"/>
        </w:rPr>
        <w:t xml:space="preserve"> (2018), that asset size is a major determinant of EBITDA. However, the comparative analysis of the coefficients suggests an important nuance: although assets influence profit volume, the board structure (BD_SIZE, BD_IND) is associated with how these resources are monitored and utilized.</w:t>
      </w:r>
    </w:p>
    <w:p w14:paraId="0ED2FFE9" w14:textId="77777777" w:rsidR="000E2452" w:rsidRPr="00B07B0D" w:rsidRDefault="000E2452" w:rsidP="000E2452">
      <w:pPr>
        <w:rPr>
          <w:lang w:val="en-US"/>
        </w:rPr>
      </w:pPr>
    </w:p>
    <w:p w14:paraId="3E39B15F" w14:textId="4FB03FEC" w:rsidR="000E2452" w:rsidRPr="00B07B0D" w:rsidRDefault="000E2452" w:rsidP="000E2452">
      <w:pPr>
        <w:rPr>
          <w:lang w:val="en-US"/>
        </w:rPr>
      </w:pPr>
      <w:r w:rsidRPr="00B07B0D">
        <w:rPr>
          <w:lang w:val="en-US"/>
        </w:rPr>
        <w:t>The absence of a significant correlation between gender diversity (GEN_BD, GEN_EXEC) and attendance at board meetings (BD_ATT) and EBITDA complements the current literature, suggesting that the benefits of diversity, while ethically essential, manifest themselves in terms of reputation or sustainability, rather than in immediate operating margins.</w:t>
      </w:r>
    </w:p>
    <w:p w14:paraId="5405F2F6" w14:textId="77777777" w:rsidR="000E2452" w:rsidRPr="00B07B0D" w:rsidRDefault="000E2452" w:rsidP="000E2452">
      <w:pPr>
        <w:rPr>
          <w:lang w:val="en-US"/>
        </w:rPr>
      </w:pPr>
    </w:p>
    <w:p w14:paraId="4ABF7C1A" w14:textId="31757EBC" w:rsidR="000E2452" w:rsidRPr="00B07B0D" w:rsidRDefault="000E2452" w:rsidP="0053123C">
      <w:pPr>
        <w:rPr>
          <w:lang w:val="en-US"/>
        </w:rPr>
      </w:pPr>
      <w:r w:rsidRPr="00B07B0D">
        <w:rPr>
          <w:lang w:val="en-US"/>
        </w:rPr>
        <w:t>Thus, the results presented consistently and thoroughly demonstrate that corporate governance mechanisms play a key role in determining companies’ financial performance, although their impact varies depending on a number of contextual, structural, and functional factors.</w:t>
      </w:r>
    </w:p>
    <w:p w14:paraId="0669E921" w14:textId="77777777" w:rsidR="005B7DD9" w:rsidRPr="00B07B0D" w:rsidRDefault="005B7DD9" w:rsidP="0053123C">
      <w:pPr>
        <w:rPr>
          <w:lang w:val="en-US"/>
        </w:rPr>
      </w:pPr>
    </w:p>
    <w:p w14:paraId="5E661CE9" w14:textId="5CBAEA88" w:rsidR="00902838" w:rsidRPr="00B07B0D" w:rsidRDefault="00D60612" w:rsidP="0053123C">
      <w:pPr>
        <w:rPr>
          <w:b/>
          <w:bCs/>
          <w:sz w:val="28"/>
          <w:szCs w:val="32"/>
          <w:lang w:val="en-US"/>
        </w:rPr>
      </w:pPr>
      <w:bookmarkStart w:id="10" w:name="_Ref532410406"/>
      <w:r w:rsidRPr="00B07B0D">
        <w:rPr>
          <w:b/>
          <w:bCs/>
          <w:sz w:val="28"/>
          <w:szCs w:val="32"/>
          <w:lang w:val="en-US"/>
        </w:rPr>
        <w:t>5</w:t>
      </w:r>
      <w:r w:rsidR="00680919" w:rsidRPr="00B07B0D">
        <w:rPr>
          <w:b/>
          <w:bCs/>
          <w:sz w:val="28"/>
          <w:szCs w:val="32"/>
          <w:lang w:val="en-US"/>
        </w:rPr>
        <w:t xml:space="preserve">. </w:t>
      </w:r>
      <w:r w:rsidR="00370CBD" w:rsidRPr="00B07B0D">
        <w:rPr>
          <w:b/>
          <w:bCs/>
          <w:sz w:val="28"/>
          <w:szCs w:val="32"/>
          <w:lang w:val="en-US"/>
        </w:rPr>
        <w:t>Discussion and conclusion</w:t>
      </w:r>
      <w:bookmarkEnd w:id="10"/>
      <w:r w:rsidR="00370CBD" w:rsidRPr="00B07B0D">
        <w:rPr>
          <w:b/>
          <w:bCs/>
          <w:sz w:val="28"/>
          <w:szCs w:val="32"/>
          <w:lang w:val="en-US"/>
        </w:rPr>
        <w:t xml:space="preserve"> </w:t>
      </w:r>
    </w:p>
    <w:p w14:paraId="2A7BB917" w14:textId="77777777" w:rsidR="001439B7" w:rsidRPr="00B07B0D" w:rsidRDefault="001439B7" w:rsidP="0053123C">
      <w:pPr>
        <w:rPr>
          <w:b/>
          <w:bCs/>
          <w:szCs w:val="22"/>
          <w:lang w:val="en-US"/>
        </w:rPr>
      </w:pPr>
    </w:p>
    <w:p w14:paraId="5816AE72" w14:textId="77777777" w:rsidR="002D31F0" w:rsidRPr="00B07B0D" w:rsidRDefault="002D31F0" w:rsidP="0053123C">
      <w:pPr>
        <w:rPr>
          <w:lang w:val="en-US"/>
        </w:rPr>
      </w:pPr>
      <w:r w:rsidRPr="00B07B0D">
        <w:rPr>
          <w:lang w:val="en-US"/>
        </w:rPr>
        <w:t xml:space="preserve">This study highlights how corporate governance mechanisms (board structure and audit committee characteristics) influence financial performance (EBITDA). It also contributes to the literature by analyzing a sample of 884 European companies over the period 2021–2024. </w:t>
      </w:r>
    </w:p>
    <w:p w14:paraId="532F3353" w14:textId="77777777" w:rsidR="00C70714" w:rsidRPr="00B07B0D" w:rsidRDefault="00C70714" w:rsidP="002D31F0">
      <w:pPr>
        <w:rPr>
          <w:lang w:val="en-US"/>
        </w:rPr>
      </w:pPr>
    </w:p>
    <w:p w14:paraId="792F4279" w14:textId="2482EC61" w:rsidR="002D31F0" w:rsidRPr="00B07B0D" w:rsidRDefault="002D31F0" w:rsidP="002D31F0">
      <w:pPr>
        <w:rPr>
          <w:lang w:val="en-US"/>
        </w:rPr>
      </w:pPr>
      <w:r w:rsidRPr="00B07B0D">
        <w:rPr>
          <w:lang w:val="en-US"/>
        </w:rPr>
        <w:t>Consequently, the study’s major contribution to the literature stems from its analysis of a period marked by post-pandemic recovery and the initial implementation of ESRS standards under the CSRD, as well as from the use of EBITDA to assess the effectiveness of corporate governance. EBITDA provides insight into gross operational performance, unaffected by fiscal policies or national depreciation methods (</w:t>
      </w:r>
      <w:proofErr w:type="spellStart"/>
      <w:r w:rsidR="006F5D0F" w:rsidRPr="006F5D0F">
        <w:t>Adiloglu</w:t>
      </w:r>
      <w:proofErr w:type="spellEnd"/>
      <w:r w:rsidR="006F5D0F" w:rsidRPr="006F5D0F">
        <w:t xml:space="preserve"> &amp; </w:t>
      </w:r>
      <w:proofErr w:type="spellStart"/>
      <w:r w:rsidR="006F5D0F" w:rsidRPr="006F5D0F">
        <w:t>Vuran</w:t>
      </w:r>
      <w:proofErr w:type="spellEnd"/>
      <w:r w:rsidRPr="00B07B0D">
        <w:rPr>
          <w:lang w:val="en-US"/>
        </w:rPr>
        <w:t>, 2017).</w:t>
      </w:r>
    </w:p>
    <w:p w14:paraId="25160DDA" w14:textId="77777777" w:rsidR="002D31F0" w:rsidRPr="00B07B0D" w:rsidRDefault="002D31F0" w:rsidP="002D31F0">
      <w:pPr>
        <w:rPr>
          <w:lang w:val="en-US"/>
        </w:rPr>
      </w:pPr>
    </w:p>
    <w:p w14:paraId="573AB127" w14:textId="50DF8640" w:rsidR="00C72218" w:rsidRPr="00B07B0D" w:rsidRDefault="002D31F0" w:rsidP="002D31F0">
      <w:pPr>
        <w:rPr>
          <w:lang w:val="en-US"/>
        </w:rPr>
      </w:pPr>
      <w:r w:rsidRPr="00B07B0D">
        <w:rPr>
          <w:lang w:val="en-US"/>
        </w:rPr>
        <w:t xml:space="preserve">The research results demonstrate that, in the context of large European companies, board size is the only governance predictor with a positive, consistent, and significant impact on EBITDA, supporting the hypothesis that a larger board can ensure more robust decision-making capacity and more effective managerial control, aspects also confirmed by </w:t>
      </w:r>
      <w:proofErr w:type="spellStart"/>
      <w:r w:rsidRPr="00B07B0D">
        <w:rPr>
          <w:lang w:val="en-US"/>
        </w:rPr>
        <w:t>Raithatha</w:t>
      </w:r>
      <w:proofErr w:type="spellEnd"/>
      <w:r w:rsidRPr="00B07B0D">
        <w:rPr>
          <w:lang w:val="en-US"/>
        </w:rPr>
        <w:t xml:space="preserve"> </w:t>
      </w:r>
      <w:r w:rsidR="003A5409">
        <w:rPr>
          <w:lang w:val="en-US"/>
        </w:rPr>
        <w:t>and</w:t>
      </w:r>
      <w:r w:rsidRPr="00B07B0D">
        <w:rPr>
          <w:lang w:val="en-US"/>
        </w:rPr>
        <w:t xml:space="preserve"> Haldar (2021).</w:t>
      </w:r>
    </w:p>
    <w:p w14:paraId="0176F9AD" w14:textId="77777777" w:rsidR="002D31F0" w:rsidRPr="00B07B0D" w:rsidRDefault="002D31F0" w:rsidP="002D31F0">
      <w:pPr>
        <w:rPr>
          <w:lang w:val="en-US"/>
        </w:rPr>
      </w:pPr>
    </w:p>
    <w:p w14:paraId="781437D4" w14:textId="72EE7988" w:rsidR="002D31F0" w:rsidRPr="00B07B0D" w:rsidRDefault="002D31F0" w:rsidP="002D31F0">
      <w:pPr>
        <w:rPr>
          <w:lang w:val="en-US"/>
        </w:rPr>
      </w:pPr>
      <w:r w:rsidRPr="00B07B0D">
        <w:rPr>
          <w:lang w:val="en-US"/>
        </w:rPr>
        <w:t xml:space="preserve">Another significant contribution of this research lies in the analysis of the correlation between gender diversity on the board of directors and financial performance. Although gender diversity is a central pillar of ESG values (Zhu &amp; Chen, 2025), the research findings confirm the perspective of </w:t>
      </w:r>
      <w:proofErr w:type="spellStart"/>
      <w:r w:rsidRPr="00B07B0D">
        <w:rPr>
          <w:lang w:val="en-US"/>
        </w:rPr>
        <w:t>Ionașcu</w:t>
      </w:r>
      <w:proofErr w:type="spellEnd"/>
      <w:r w:rsidRPr="00B07B0D">
        <w:rPr>
          <w:lang w:val="en-US"/>
        </w:rPr>
        <w:t xml:space="preserve"> </w:t>
      </w:r>
      <w:r w:rsidRPr="00B07B0D">
        <w:rPr>
          <w:i/>
          <w:iCs/>
          <w:lang w:val="en-US"/>
        </w:rPr>
        <w:t>et al</w:t>
      </w:r>
      <w:r w:rsidRPr="00B07B0D">
        <w:rPr>
          <w:lang w:val="en-US"/>
        </w:rPr>
        <w:t>. (2018), according to which, in companies with well-established corporate governance, its impact on profitability indicators tends to be neutral. Similarly, the expertise and independence of the audit committee, along with internal audit reporting, function primarily as monitoring and compliance tools. Thus, this paper adds nuance to the existing literature (</w:t>
      </w:r>
      <w:proofErr w:type="spellStart"/>
      <w:r w:rsidR="003A5409" w:rsidRPr="00B07B0D">
        <w:rPr>
          <w:lang w:val="en-US"/>
        </w:rPr>
        <w:t>Hazaea</w:t>
      </w:r>
      <w:proofErr w:type="spellEnd"/>
      <w:r w:rsidR="003A5409" w:rsidRPr="00B07B0D">
        <w:rPr>
          <w:lang w:val="en-US"/>
        </w:rPr>
        <w:t xml:space="preserve"> </w:t>
      </w:r>
      <w:r w:rsidR="003A5409" w:rsidRPr="00B07B0D">
        <w:rPr>
          <w:i/>
          <w:iCs/>
          <w:lang w:val="en-US"/>
        </w:rPr>
        <w:t>et al</w:t>
      </w:r>
      <w:r w:rsidR="003A5409" w:rsidRPr="00B07B0D">
        <w:rPr>
          <w:lang w:val="en-US"/>
        </w:rPr>
        <w:t>., 2020</w:t>
      </w:r>
      <w:r w:rsidR="003A5409">
        <w:t xml:space="preserve">; </w:t>
      </w:r>
      <w:r w:rsidRPr="00B07B0D">
        <w:rPr>
          <w:lang w:val="en-US"/>
        </w:rPr>
        <w:t>Tusek, 2015), demonstrating that, although the interdependence between internal audit and the committee is necessary for risk management, its influence on operating margins remains limited in the current market context. This discrepancy suggests that the effect of gender diversity is contextual and dependent on the corporate governance structure and the specific characteristics of the firms analyzed.</w:t>
      </w:r>
    </w:p>
    <w:p w14:paraId="7412964A" w14:textId="77777777" w:rsidR="002D31F0" w:rsidRPr="00B07B0D" w:rsidRDefault="002D31F0" w:rsidP="002D31F0">
      <w:pPr>
        <w:rPr>
          <w:lang w:val="en-US"/>
        </w:rPr>
      </w:pPr>
    </w:p>
    <w:p w14:paraId="551F80DF" w14:textId="4A3CDB6E" w:rsidR="002D31F0" w:rsidRPr="00B07B0D" w:rsidRDefault="002D31F0" w:rsidP="002D31F0">
      <w:pPr>
        <w:rPr>
          <w:lang w:val="en-US"/>
        </w:rPr>
      </w:pPr>
      <w:r w:rsidRPr="00B07B0D">
        <w:rPr>
          <w:lang w:val="en-US"/>
        </w:rPr>
        <w:t>In this context, the present study partially confirms the influence of management structure on performance (H</w:t>
      </w:r>
      <w:r w:rsidRPr="006F5D0F">
        <w:rPr>
          <w:vertAlign w:val="subscript"/>
          <w:lang w:val="en-US"/>
        </w:rPr>
        <w:t>1</w:t>
      </w:r>
      <w:r w:rsidRPr="00B07B0D">
        <w:rPr>
          <w:lang w:val="en-US"/>
        </w:rPr>
        <w:t>), while also rejecting the hypothesis of a direct positive correlation between internal audit effectiveness and EBITDA (H</w:t>
      </w:r>
      <w:r w:rsidRPr="006F5D0F">
        <w:rPr>
          <w:vertAlign w:val="subscript"/>
          <w:lang w:val="en-US"/>
        </w:rPr>
        <w:t>2</w:t>
      </w:r>
      <w:r w:rsidRPr="00B07B0D">
        <w:rPr>
          <w:lang w:val="en-US"/>
        </w:rPr>
        <w:t>). Furthermore, this research does not empirically support the significant influence of gender diversity on financial performance (H</w:t>
      </w:r>
      <w:r w:rsidRPr="006F5D0F">
        <w:rPr>
          <w:vertAlign w:val="subscript"/>
          <w:lang w:val="en-US"/>
        </w:rPr>
        <w:t>3</w:t>
      </w:r>
      <w:r w:rsidRPr="00B07B0D">
        <w:rPr>
          <w:lang w:val="en-US"/>
        </w:rPr>
        <w:t>). This duality underscores the need for stakeholders to evaluate corporate governance not only through the lens of immediate profitability but also through its fundamental role in ensuring organizational resilience. Thus, to ensure sustainable long-term financial performance, companies must adapt corporate governance mechanisms to the economic characteristics of their industry and ensure effective collaboration between these mechanisms and internal audit.</w:t>
      </w:r>
    </w:p>
    <w:p w14:paraId="349FD26A" w14:textId="77777777" w:rsidR="002D31F0" w:rsidRPr="00B07B0D" w:rsidRDefault="002D31F0" w:rsidP="002D31F0">
      <w:pPr>
        <w:rPr>
          <w:lang w:val="en-US"/>
        </w:rPr>
      </w:pPr>
    </w:p>
    <w:p w14:paraId="4B6240CF" w14:textId="7257F975" w:rsidR="002D31F0" w:rsidRPr="00B07B0D" w:rsidRDefault="002D31F0" w:rsidP="002D31F0">
      <w:pPr>
        <w:rPr>
          <w:lang w:val="en-US"/>
        </w:rPr>
      </w:pPr>
      <w:r w:rsidRPr="00B07B0D">
        <w:rPr>
          <w:lang w:val="en-US"/>
        </w:rPr>
        <w:t>Regarding the contributions of this study, from an academic perspective, it contributes to expanding the literature on the relationship between corporate governance and financial performance by integrating a recent European perspective and by highlighting the role of specific governance mechanisms. From a practical perspective, the results offer relevant implications for decision-makers, suggesting the need to strengthen corporate governance structures in order to improve organizational performance and increase transparency.</w:t>
      </w:r>
    </w:p>
    <w:p w14:paraId="7BB918B5" w14:textId="77777777" w:rsidR="002D31F0" w:rsidRPr="00B07B0D" w:rsidRDefault="002D31F0" w:rsidP="002D31F0">
      <w:pPr>
        <w:rPr>
          <w:lang w:val="en-US"/>
        </w:rPr>
      </w:pPr>
    </w:p>
    <w:p w14:paraId="1CDB6CD3" w14:textId="3DD7956E" w:rsidR="002D31F0" w:rsidRPr="00B07B0D" w:rsidRDefault="002D31F0" w:rsidP="002D31F0">
      <w:pPr>
        <w:rPr>
          <w:lang w:val="en-US"/>
        </w:rPr>
      </w:pPr>
      <w:r w:rsidRPr="00B07B0D">
        <w:rPr>
          <w:lang w:val="en-US"/>
        </w:rPr>
        <w:t xml:space="preserve">Although this study makes a valuable contribution to understanding the relationship between corporate governance and financial performance in the context of European public companies, it has certain limitations that must be </w:t>
      </w:r>
      <w:proofErr w:type="gramStart"/>
      <w:r w:rsidRPr="00B07B0D">
        <w:rPr>
          <w:lang w:val="en-US"/>
        </w:rPr>
        <w:t>taken into account</w:t>
      </w:r>
      <w:proofErr w:type="gramEnd"/>
      <w:r w:rsidRPr="00B07B0D">
        <w:rPr>
          <w:lang w:val="en-US"/>
        </w:rPr>
        <w:t>.</w:t>
      </w:r>
      <w:r w:rsidR="006F5D0F">
        <w:rPr>
          <w:lang w:val="en-US"/>
        </w:rPr>
        <w:t xml:space="preserve"> </w:t>
      </w:r>
      <w:r w:rsidRPr="00B07B0D">
        <w:rPr>
          <w:lang w:val="en-US"/>
        </w:rPr>
        <w:t>First, the analyzed period (2021–2024) limits the capture of long-term effects, particularly in the post-pandemic context and the transition to new European standards on non-financial reporting.</w:t>
      </w:r>
      <w:r w:rsidR="006F5D0F">
        <w:rPr>
          <w:lang w:val="en-US"/>
        </w:rPr>
        <w:t xml:space="preserve"> </w:t>
      </w:r>
      <w:r w:rsidRPr="00B07B0D">
        <w:rPr>
          <w:lang w:val="en-US"/>
        </w:rPr>
        <w:t>Second, the use of a single financial performance indicator, namely EBITDA, provides a partial view of company performance, without fully reflecting the efficiency of equity utilization, market value, or shareholder returns. In this context, future research directions include extending the analysis period and integrating additional financial indicators, such as ROA and ROE, which would allow for a more comprehensive assessment of performance.</w:t>
      </w:r>
      <w:r w:rsidR="006F5D0F">
        <w:rPr>
          <w:lang w:val="en-US"/>
        </w:rPr>
        <w:t xml:space="preserve"> </w:t>
      </w:r>
      <w:r w:rsidRPr="00B07B0D">
        <w:rPr>
          <w:lang w:val="en-US"/>
        </w:rPr>
        <w:t>In addition, future research could also include comparative analyses between regions or governance models (European vs. Anglo-Saxon) to highlight differences in the efficiency of oversight and control mechanisms.</w:t>
      </w:r>
    </w:p>
    <w:p w14:paraId="75C9E1EC" w14:textId="77777777" w:rsidR="00A14C20" w:rsidRPr="00B07B0D" w:rsidRDefault="00A14C20" w:rsidP="00C72218">
      <w:pPr>
        <w:rPr>
          <w:lang w:val="en-US"/>
        </w:rPr>
      </w:pPr>
    </w:p>
    <w:p w14:paraId="6C4A80F8" w14:textId="23CC7495" w:rsidR="009F52B8" w:rsidRPr="001A1823" w:rsidRDefault="003016E2" w:rsidP="009F52B8">
      <w:pPr>
        <w:rPr>
          <w:b/>
          <w:bCs/>
          <w:sz w:val="32"/>
          <w:szCs w:val="36"/>
          <w:lang w:val="en-US"/>
        </w:rPr>
      </w:pPr>
      <w:r w:rsidRPr="00B07B0D">
        <w:rPr>
          <w:b/>
          <w:bCs/>
          <w:sz w:val="32"/>
          <w:szCs w:val="36"/>
          <w:lang w:val="en-US"/>
        </w:rPr>
        <w:t xml:space="preserve">References </w:t>
      </w:r>
      <w:r w:rsidR="00E77DFA" w:rsidRPr="001A1823">
        <w:rPr>
          <w:rFonts w:ascii="Times New Roman" w:hAnsi="Times New Roman" w:cs="Times New Roman"/>
          <w:szCs w:val="22"/>
          <w:lang w:val="en-US"/>
        </w:rPr>
        <w:fldChar w:fldCharType="begin"/>
      </w:r>
      <w:r w:rsidRPr="001A1823">
        <w:rPr>
          <w:szCs w:val="22"/>
          <w:lang w:val="en-US"/>
        </w:rPr>
        <w:instrText xml:space="preserve"> ADDIN EN.REFLIST </w:instrText>
      </w:r>
      <w:r w:rsidR="00E77DFA" w:rsidRPr="001A1823">
        <w:rPr>
          <w:rFonts w:ascii="Times New Roman" w:hAnsi="Times New Roman" w:cs="Times New Roman"/>
          <w:szCs w:val="22"/>
          <w:lang w:val="en-US"/>
        </w:rPr>
        <w:fldChar w:fldCharType="separate"/>
      </w:r>
    </w:p>
    <w:p w14:paraId="01429B8A" w14:textId="77777777" w:rsidR="009F52B8" w:rsidRPr="001A1823" w:rsidRDefault="009F52B8" w:rsidP="009F52B8">
      <w:pPr>
        <w:ind w:left="709" w:hanging="709"/>
        <w:rPr>
          <w:rFonts w:ascii="Times New Roman" w:hAnsi="Times New Roman" w:cs="Times New Roman"/>
          <w:szCs w:val="22"/>
          <w:lang w:val="en-US"/>
        </w:rPr>
      </w:pPr>
    </w:p>
    <w:p w14:paraId="3DB79034" w14:textId="77777777"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Acero, I., &amp; Alcalde, N. (2021). Institutional context as a moderator of the relationship between board structure and acquirer returns. </w:t>
      </w:r>
      <w:r w:rsidRPr="001A1823">
        <w:rPr>
          <w:rFonts w:ascii="Times New Roman" w:hAnsi="Times New Roman" w:cs="Times New Roman"/>
          <w:i/>
          <w:iCs/>
        </w:rPr>
        <w:t>Research in International Business and Finance</w:t>
      </w:r>
      <w:r w:rsidRPr="001A1823">
        <w:rPr>
          <w:rFonts w:ascii="Times New Roman" w:hAnsi="Times New Roman" w:cs="Times New Roman"/>
        </w:rPr>
        <w:t xml:space="preserve">, </w:t>
      </w:r>
      <w:r w:rsidRPr="001A1823">
        <w:rPr>
          <w:rFonts w:ascii="Times New Roman" w:hAnsi="Times New Roman" w:cs="Times New Roman"/>
          <w:i/>
          <w:iCs/>
        </w:rPr>
        <w:t>57</w:t>
      </w:r>
      <w:r w:rsidRPr="001A1823">
        <w:rPr>
          <w:rFonts w:ascii="Times New Roman" w:hAnsi="Times New Roman" w:cs="Times New Roman"/>
        </w:rPr>
        <w:t>, 101420. https://doi.org/10.1016/j.ribaf.2021.101420</w:t>
      </w:r>
    </w:p>
    <w:p w14:paraId="46240045" w14:textId="0CE7E138"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Adiloglu, B., &amp; Vuran, B. (2017). The importance of EBIT- EBITDA disclosure in annual reports: A comparison from Turkey. </w:t>
      </w:r>
      <w:r w:rsidRPr="001A1823">
        <w:rPr>
          <w:rFonts w:ascii="Times New Roman" w:hAnsi="Times New Roman" w:cs="Times New Roman"/>
          <w:i/>
          <w:iCs/>
        </w:rPr>
        <w:t>International Journal of Social Sciences and Education Research</w:t>
      </w:r>
      <w:r w:rsidRPr="001A1823">
        <w:rPr>
          <w:rFonts w:ascii="Times New Roman" w:hAnsi="Times New Roman" w:cs="Times New Roman"/>
        </w:rPr>
        <w:t xml:space="preserve">, </w:t>
      </w:r>
      <w:r w:rsidRPr="001A1823">
        <w:rPr>
          <w:rFonts w:ascii="Times New Roman" w:hAnsi="Times New Roman" w:cs="Times New Roman"/>
          <w:i/>
          <w:iCs/>
        </w:rPr>
        <w:t>3</w:t>
      </w:r>
      <w:r w:rsidRPr="001A1823">
        <w:rPr>
          <w:rFonts w:ascii="Times New Roman" w:hAnsi="Times New Roman" w:cs="Times New Roman"/>
        </w:rPr>
        <w:t>(2), 397</w:t>
      </w:r>
      <w:r w:rsidR="005F66E3">
        <w:rPr>
          <w:rFonts w:ascii="Times New Roman" w:hAnsi="Times New Roman" w:cs="Times New Roman"/>
        </w:rPr>
        <w:t>-</w:t>
      </w:r>
      <w:r w:rsidRPr="001A1823">
        <w:rPr>
          <w:rFonts w:ascii="Times New Roman" w:hAnsi="Times New Roman" w:cs="Times New Roman"/>
        </w:rPr>
        <w:t>397. https://doi.org/10.24289/ijsser.284252</w:t>
      </w:r>
    </w:p>
    <w:p w14:paraId="6E2B27B0" w14:textId="434FE646"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Alley, I. S., Adebayo, A. L., &amp; Oligbi, B. O. (2016). Corporate governance and financial performance nexus: Any bidirectional causality? </w:t>
      </w:r>
      <w:r w:rsidRPr="001A1823">
        <w:rPr>
          <w:rFonts w:ascii="Times New Roman" w:hAnsi="Times New Roman" w:cs="Times New Roman"/>
          <w:i/>
          <w:iCs/>
        </w:rPr>
        <w:t>International Journal of Management and Economics</w:t>
      </w:r>
      <w:r w:rsidRPr="001A1823">
        <w:rPr>
          <w:rFonts w:ascii="Times New Roman" w:hAnsi="Times New Roman" w:cs="Times New Roman"/>
        </w:rPr>
        <w:t xml:space="preserve">, </w:t>
      </w:r>
      <w:r w:rsidRPr="001A1823">
        <w:rPr>
          <w:rFonts w:ascii="Times New Roman" w:hAnsi="Times New Roman" w:cs="Times New Roman"/>
          <w:i/>
          <w:iCs/>
        </w:rPr>
        <w:t>50</w:t>
      </w:r>
      <w:r w:rsidRPr="001A1823">
        <w:rPr>
          <w:rFonts w:ascii="Times New Roman" w:hAnsi="Times New Roman" w:cs="Times New Roman"/>
        </w:rPr>
        <w:t>(1), 82</w:t>
      </w:r>
      <w:r w:rsidR="005F66E3">
        <w:rPr>
          <w:rFonts w:ascii="Times New Roman" w:hAnsi="Times New Roman" w:cs="Times New Roman"/>
        </w:rPr>
        <w:t>-</w:t>
      </w:r>
      <w:r w:rsidRPr="001A1823">
        <w:rPr>
          <w:rFonts w:ascii="Times New Roman" w:hAnsi="Times New Roman" w:cs="Times New Roman"/>
        </w:rPr>
        <w:t>99. https://doi.org/10.1515/ijme-2016-0013</w:t>
      </w:r>
    </w:p>
    <w:p w14:paraId="54CAC710" w14:textId="5B138D95"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Alpaslan, C. M., Green, S. E., &amp; Mitroff, I. I. (2009). Corporate governance in the context of crises: Towards a stakeholder theory of crisis management. </w:t>
      </w:r>
      <w:r w:rsidRPr="001A1823">
        <w:rPr>
          <w:rFonts w:ascii="Times New Roman" w:hAnsi="Times New Roman" w:cs="Times New Roman"/>
          <w:i/>
          <w:iCs/>
        </w:rPr>
        <w:t>Journal of Contingencies and Crisis Management</w:t>
      </w:r>
      <w:r w:rsidRPr="001A1823">
        <w:rPr>
          <w:rFonts w:ascii="Times New Roman" w:hAnsi="Times New Roman" w:cs="Times New Roman"/>
        </w:rPr>
        <w:t xml:space="preserve">, </w:t>
      </w:r>
      <w:r w:rsidRPr="001A1823">
        <w:rPr>
          <w:rFonts w:ascii="Times New Roman" w:hAnsi="Times New Roman" w:cs="Times New Roman"/>
          <w:i/>
          <w:iCs/>
        </w:rPr>
        <w:t>17</w:t>
      </w:r>
      <w:r w:rsidRPr="001A1823">
        <w:rPr>
          <w:rFonts w:ascii="Times New Roman" w:hAnsi="Times New Roman" w:cs="Times New Roman"/>
        </w:rPr>
        <w:t>(1), 38</w:t>
      </w:r>
      <w:r w:rsidR="005F66E3">
        <w:rPr>
          <w:rFonts w:ascii="Times New Roman" w:hAnsi="Times New Roman" w:cs="Times New Roman"/>
        </w:rPr>
        <w:t>-</w:t>
      </w:r>
      <w:r w:rsidRPr="001A1823">
        <w:rPr>
          <w:rFonts w:ascii="Times New Roman" w:hAnsi="Times New Roman" w:cs="Times New Roman"/>
        </w:rPr>
        <w:t>49. https://doi.org/10.1111/j.1468-5973.2009.00555.x</w:t>
      </w:r>
    </w:p>
    <w:p w14:paraId="0B710CCF" w14:textId="71219DD1"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Chandani, S., &amp; Ahmed, N. (2021). The effect of corporate governance and financial leverage on efficiency of Pakistan textile sector. </w:t>
      </w:r>
      <w:r w:rsidRPr="001A1823">
        <w:rPr>
          <w:rFonts w:ascii="Times New Roman" w:hAnsi="Times New Roman" w:cs="Times New Roman"/>
          <w:i/>
          <w:iCs/>
        </w:rPr>
        <w:t>Independent Journal of Management &amp; Production</w:t>
      </w:r>
      <w:r w:rsidRPr="001A1823">
        <w:rPr>
          <w:rFonts w:ascii="Times New Roman" w:hAnsi="Times New Roman" w:cs="Times New Roman"/>
        </w:rPr>
        <w:t xml:space="preserve">, </w:t>
      </w:r>
      <w:r w:rsidRPr="001A1823">
        <w:rPr>
          <w:rFonts w:ascii="Times New Roman" w:hAnsi="Times New Roman" w:cs="Times New Roman"/>
          <w:i/>
          <w:iCs/>
        </w:rPr>
        <w:t>12</w:t>
      </w:r>
      <w:r w:rsidRPr="001A1823">
        <w:rPr>
          <w:rFonts w:ascii="Times New Roman" w:hAnsi="Times New Roman" w:cs="Times New Roman"/>
        </w:rPr>
        <w:t>(1), 201</w:t>
      </w:r>
      <w:r w:rsidR="005F66E3">
        <w:rPr>
          <w:rFonts w:ascii="Times New Roman" w:hAnsi="Times New Roman" w:cs="Times New Roman"/>
        </w:rPr>
        <w:t>-</w:t>
      </w:r>
      <w:r w:rsidRPr="001A1823">
        <w:rPr>
          <w:rFonts w:ascii="Times New Roman" w:hAnsi="Times New Roman" w:cs="Times New Roman"/>
        </w:rPr>
        <w:t>218. https://doi.org/10.14807/</w:t>
      </w:r>
      <w:r w:rsidR="005F66E3">
        <w:rPr>
          <w:rFonts w:ascii="Times New Roman" w:hAnsi="Times New Roman" w:cs="Times New Roman"/>
        </w:rPr>
        <w:br/>
      </w:r>
      <w:r w:rsidRPr="001A1823">
        <w:rPr>
          <w:rFonts w:ascii="Times New Roman" w:hAnsi="Times New Roman" w:cs="Times New Roman"/>
        </w:rPr>
        <w:t>ijmp.v12i1.773</w:t>
      </w:r>
    </w:p>
    <w:p w14:paraId="0B0515A7" w14:textId="7D2E7316"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Chechet, I. L., Yancy, F. S., &amp; Akanet, S. (2013). Impact of internal governance on corporate performance in deposit money bank in Nigeria. </w:t>
      </w:r>
      <w:r w:rsidRPr="001A1823">
        <w:rPr>
          <w:rFonts w:ascii="Times New Roman" w:hAnsi="Times New Roman" w:cs="Times New Roman"/>
          <w:i/>
          <w:iCs/>
        </w:rPr>
        <w:t>International Journal of Arts and Commerce</w:t>
      </w:r>
      <w:r w:rsidRPr="001A1823">
        <w:rPr>
          <w:rFonts w:ascii="Times New Roman" w:hAnsi="Times New Roman" w:cs="Times New Roman"/>
        </w:rPr>
        <w:t xml:space="preserve">, </w:t>
      </w:r>
      <w:r w:rsidRPr="001A1823">
        <w:rPr>
          <w:rFonts w:ascii="Times New Roman" w:hAnsi="Times New Roman" w:cs="Times New Roman"/>
          <w:i/>
          <w:iCs/>
        </w:rPr>
        <w:t>2</w:t>
      </w:r>
      <w:r w:rsidRPr="001A1823">
        <w:rPr>
          <w:rFonts w:ascii="Times New Roman" w:hAnsi="Times New Roman" w:cs="Times New Roman"/>
        </w:rPr>
        <w:t>(8), 35</w:t>
      </w:r>
      <w:r w:rsidR="005F66E3">
        <w:rPr>
          <w:rFonts w:ascii="Times New Roman" w:hAnsi="Times New Roman" w:cs="Times New Roman"/>
        </w:rPr>
        <w:t>-</w:t>
      </w:r>
      <w:r w:rsidRPr="001A1823">
        <w:rPr>
          <w:rFonts w:ascii="Times New Roman" w:hAnsi="Times New Roman" w:cs="Times New Roman"/>
        </w:rPr>
        <w:t>46.</w:t>
      </w:r>
    </w:p>
    <w:p w14:paraId="56E4DD9D" w14:textId="77777777"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Chen, R., Liu, F., &amp; Zhao, C. (2024). Worldwide board reforms and financial reporting quality. </w:t>
      </w:r>
      <w:r w:rsidRPr="001A1823">
        <w:rPr>
          <w:rFonts w:ascii="Times New Roman" w:hAnsi="Times New Roman" w:cs="Times New Roman"/>
          <w:i/>
          <w:iCs/>
        </w:rPr>
        <w:t>Research in International Business and Finance</w:t>
      </w:r>
      <w:r w:rsidRPr="001A1823">
        <w:rPr>
          <w:rFonts w:ascii="Times New Roman" w:hAnsi="Times New Roman" w:cs="Times New Roman"/>
        </w:rPr>
        <w:t xml:space="preserve">, </w:t>
      </w:r>
      <w:r w:rsidRPr="001A1823">
        <w:rPr>
          <w:rFonts w:ascii="Times New Roman" w:hAnsi="Times New Roman" w:cs="Times New Roman"/>
          <w:i/>
          <w:iCs/>
        </w:rPr>
        <w:t>69</w:t>
      </w:r>
      <w:r w:rsidRPr="001A1823">
        <w:rPr>
          <w:rFonts w:ascii="Times New Roman" w:hAnsi="Times New Roman" w:cs="Times New Roman"/>
        </w:rPr>
        <w:t>, 102239. https://doi.org/10.1016/j.ribaf.2024.102239</w:t>
      </w:r>
    </w:p>
    <w:p w14:paraId="74068AF2" w14:textId="3B59C5EA"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Cormier, D., Demaria, S., &amp; Magnan, M. (2017). Beyond earnings: Do EBITDA reporting and governance matter for market participants? </w:t>
      </w:r>
      <w:r w:rsidRPr="001A1823">
        <w:rPr>
          <w:rFonts w:ascii="Times New Roman" w:hAnsi="Times New Roman" w:cs="Times New Roman"/>
          <w:i/>
          <w:iCs/>
        </w:rPr>
        <w:t>Managerial Finance</w:t>
      </w:r>
      <w:r w:rsidRPr="001A1823">
        <w:rPr>
          <w:rFonts w:ascii="Times New Roman" w:hAnsi="Times New Roman" w:cs="Times New Roman"/>
        </w:rPr>
        <w:t xml:space="preserve">, </w:t>
      </w:r>
      <w:r w:rsidRPr="001A1823">
        <w:rPr>
          <w:rFonts w:ascii="Times New Roman" w:hAnsi="Times New Roman" w:cs="Times New Roman"/>
          <w:i/>
          <w:iCs/>
        </w:rPr>
        <w:t>43</w:t>
      </w:r>
      <w:r w:rsidRPr="001A1823">
        <w:rPr>
          <w:rFonts w:ascii="Times New Roman" w:hAnsi="Times New Roman" w:cs="Times New Roman"/>
        </w:rPr>
        <w:t>(2), 193</w:t>
      </w:r>
      <w:r w:rsidR="005F66E3">
        <w:rPr>
          <w:rFonts w:ascii="Times New Roman" w:hAnsi="Times New Roman" w:cs="Times New Roman"/>
        </w:rPr>
        <w:t>-</w:t>
      </w:r>
      <w:r w:rsidRPr="001A1823">
        <w:rPr>
          <w:rFonts w:ascii="Times New Roman" w:hAnsi="Times New Roman" w:cs="Times New Roman"/>
        </w:rPr>
        <w:t>211. https://doi.org/10.1108/MF-07-2016-0205</w:t>
      </w:r>
    </w:p>
    <w:p w14:paraId="2E080AC0" w14:textId="77777777"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Da Silva, E. J., Ramos, F. M., Cembranel, P., &amp; Witt, C. (2024). Ties that bind: Exploring corporate networks, decision-making dynamics in the financial market, labor-management relations, and organizational performance. </w:t>
      </w:r>
      <w:r w:rsidRPr="001A1823">
        <w:rPr>
          <w:rFonts w:ascii="Times New Roman" w:hAnsi="Times New Roman" w:cs="Times New Roman"/>
          <w:i/>
          <w:iCs/>
        </w:rPr>
        <w:t>Future Business Journal</w:t>
      </w:r>
      <w:r w:rsidRPr="001A1823">
        <w:rPr>
          <w:rFonts w:ascii="Times New Roman" w:hAnsi="Times New Roman" w:cs="Times New Roman"/>
        </w:rPr>
        <w:t xml:space="preserve">, </w:t>
      </w:r>
      <w:r w:rsidRPr="001A1823">
        <w:rPr>
          <w:rFonts w:ascii="Times New Roman" w:hAnsi="Times New Roman" w:cs="Times New Roman"/>
          <w:i/>
          <w:iCs/>
        </w:rPr>
        <w:t>10</w:t>
      </w:r>
      <w:r w:rsidRPr="001A1823">
        <w:rPr>
          <w:rFonts w:ascii="Times New Roman" w:hAnsi="Times New Roman" w:cs="Times New Roman"/>
        </w:rPr>
        <w:t>(1), 31. https://doi.org/10.1186/s43093-024-00317-5</w:t>
      </w:r>
    </w:p>
    <w:p w14:paraId="3940E738" w14:textId="77777777"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Đervida, R., Grujić, M., &amp; Occhi, J. (2024). Corporate governance practices in continental europe and anglo-saxon countries:acomparative study. </w:t>
      </w:r>
      <w:r w:rsidRPr="001A1823">
        <w:rPr>
          <w:rFonts w:ascii="Times New Roman" w:hAnsi="Times New Roman" w:cs="Times New Roman"/>
          <w:i/>
          <w:iCs/>
        </w:rPr>
        <w:t>Сварог</w:t>
      </w:r>
      <w:r w:rsidRPr="001A1823">
        <w:rPr>
          <w:rFonts w:ascii="Times New Roman" w:hAnsi="Times New Roman" w:cs="Times New Roman"/>
        </w:rPr>
        <w:t xml:space="preserve">, </w:t>
      </w:r>
      <w:r w:rsidRPr="001A1823">
        <w:rPr>
          <w:rFonts w:ascii="Times New Roman" w:hAnsi="Times New Roman" w:cs="Times New Roman"/>
          <w:i/>
          <w:iCs/>
        </w:rPr>
        <w:t>1</w:t>
      </w:r>
      <w:r w:rsidRPr="001A1823">
        <w:rPr>
          <w:rFonts w:ascii="Times New Roman" w:hAnsi="Times New Roman" w:cs="Times New Roman"/>
        </w:rPr>
        <w:t>(28). https://doi.org/10.7251/SVR2428063D</w:t>
      </w:r>
    </w:p>
    <w:p w14:paraId="09F318A1" w14:textId="77777777" w:rsidR="001A1823" w:rsidRPr="001A1823" w:rsidRDefault="001A1823" w:rsidP="009F52B8">
      <w:pPr>
        <w:ind w:left="709" w:hanging="709"/>
        <w:rPr>
          <w:rFonts w:ascii="Times New Roman" w:hAnsi="Times New Roman" w:cs="Times New Roman"/>
          <w:szCs w:val="22"/>
          <w:lang w:val="en-US"/>
        </w:rPr>
      </w:pPr>
      <w:r w:rsidRPr="001A1823">
        <w:rPr>
          <w:rFonts w:ascii="Times New Roman" w:hAnsi="Times New Roman" w:cs="Times New Roman"/>
          <w:szCs w:val="22"/>
          <w:lang w:val="en-US"/>
        </w:rPr>
        <w:t xml:space="preserve">European Parliament and Council of the European Union (2014). </w:t>
      </w:r>
      <w:r w:rsidRPr="001A1823">
        <w:rPr>
          <w:rFonts w:ascii="Times New Roman" w:hAnsi="Times New Roman" w:cs="Times New Roman"/>
          <w:i/>
          <w:iCs/>
          <w:szCs w:val="22"/>
          <w:lang w:val="en-US"/>
        </w:rPr>
        <w:t>Directive 2014/56/EU of 16 April 2014 amending Directive 2006/43/EC on statutory audits of annual accounts and consolidated accounts</w:t>
      </w:r>
      <w:r w:rsidRPr="001A1823">
        <w:rPr>
          <w:rFonts w:ascii="Times New Roman" w:hAnsi="Times New Roman" w:cs="Times New Roman"/>
          <w:szCs w:val="22"/>
          <w:lang w:val="en-US"/>
        </w:rPr>
        <w:t xml:space="preserve">. </w:t>
      </w:r>
      <w:r w:rsidRPr="001A1823">
        <w:rPr>
          <w:rFonts w:ascii="Times New Roman" w:hAnsi="Times New Roman" w:cs="Times New Roman"/>
          <w:i/>
          <w:iCs/>
          <w:szCs w:val="22"/>
          <w:lang w:val="en-US"/>
        </w:rPr>
        <w:t>Official Journal of the European Union</w:t>
      </w:r>
      <w:r w:rsidRPr="001A1823">
        <w:rPr>
          <w:rFonts w:ascii="Times New Roman" w:hAnsi="Times New Roman" w:cs="Times New Roman"/>
          <w:szCs w:val="22"/>
          <w:lang w:val="en-US"/>
        </w:rPr>
        <w:t>, http://data.europa.eu/eli/dir/2014/56/oj</w:t>
      </w:r>
    </w:p>
    <w:p w14:paraId="4E047E54" w14:textId="77777777" w:rsidR="001A1823" w:rsidRPr="001A1823" w:rsidRDefault="001A1823" w:rsidP="009F52B8">
      <w:pPr>
        <w:ind w:left="709" w:hanging="709"/>
        <w:rPr>
          <w:rFonts w:ascii="Times New Roman" w:hAnsi="Times New Roman" w:cs="Times New Roman"/>
          <w:szCs w:val="22"/>
          <w:lang w:val="en-US"/>
        </w:rPr>
      </w:pPr>
      <w:r w:rsidRPr="001A1823">
        <w:rPr>
          <w:rFonts w:ascii="Times New Roman" w:hAnsi="Times New Roman" w:cs="Times New Roman"/>
          <w:szCs w:val="22"/>
          <w:lang w:val="en-US"/>
        </w:rPr>
        <w:t xml:space="preserve">European Parliament and Council of the European Union. (2006). </w:t>
      </w:r>
      <w:r w:rsidRPr="001A1823">
        <w:rPr>
          <w:rFonts w:ascii="Times New Roman" w:hAnsi="Times New Roman" w:cs="Times New Roman"/>
          <w:i/>
          <w:iCs/>
          <w:szCs w:val="22"/>
          <w:lang w:val="en-US"/>
        </w:rPr>
        <w:t>Directive 2006/43/EC of 17 May 2006 on statutory audits of annual accounts and consolidated accounts</w:t>
      </w:r>
      <w:r w:rsidRPr="001A1823">
        <w:rPr>
          <w:rFonts w:ascii="Times New Roman" w:hAnsi="Times New Roman" w:cs="Times New Roman"/>
          <w:szCs w:val="22"/>
          <w:lang w:val="en-US"/>
        </w:rPr>
        <w:t xml:space="preserve">. </w:t>
      </w:r>
      <w:r w:rsidRPr="001A1823">
        <w:rPr>
          <w:rFonts w:ascii="Times New Roman" w:hAnsi="Times New Roman" w:cs="Times New Roman"/>
          <w:i/>
          <w:iCs/>
          <w:szCs w:val="22"/>
          <w:lang w:val="en-US"/>
        </w:rPr>
        <w:t>Official Journal of the European Union</w:t>
      </w:r>
      <w:r w:rsidRPr="001A1823">
        <w:rPr>
          <w:rFonts w:ascii="Times New Roman" w:hAnsi="Times New Roman" w:cs="Times New Roman"/>
          <w:szCs w:val="22"/>
          <w:lang w:val="en-US"/>
        </w:rPr>
        <w:t>, http://data.europa.eu/eli/dir/2006/43/oj</w:t>
      </w:r>
    </w:p>
    <w:p w14:paraId="1D6F2BF1" w14:textId="7E0A6DC2"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Fanta, A. B. (2013). Corporate governance and impact on bank performance. </w:t>
      </w:r>
      <w:r w:rsidRPr="001A1823">
        <w:rPr>
          <w:rFonts w:ascii="Times New Roman" w:hAnsi="Times New Roman" w:cs="Times New Roman"/>
          <w:i/>
          <w:iCs/>
        </w:rPr>
        <w:t>Journal of Finance and Accounting</w:t>
      </w:r>
      <w:r w:rsidRPr="001A1823">
        <w:rPr>
          <w:rFonts w:ascii="Times New Roman" w:hAnsi="Times New Roman" w:cs="Times New Roman"/>
        </w:rPr>
        <w:t xml:space="preserve">, </w:t>
      </w:r>
      <w:r w:rsidRPr="001A1823">
        <w:rPr>
          <w:rFonts w:ascii="Times New Roman" w:hAnsi="Times New Roman" w:cs="Times New Roman"/>
          <w:i/>
          <w:iCs/>
        </w:rPr>
        <w:t>1</w:t>
      </w:r>
      <w:r w:rsidRPr="001A1823">
        <w:rPr>
          <w:rFonts w:ascii="Times New Roman" w:hAnsi="Times New Roman" w:cs="Times New Roman"/>
        </w:rPr>
        <w:t>(1), 19. https://doi.org/10.11648/</w:t>
      </w:r>
      <w:r w:rsidR="005F66E3">
        <w:rPr>
          <w:rFonts w:ascii="Times New Roman" w:hAnsi="Times New Roman" w:cs="Times New Roman"/>
        </w:rPr>
        <w:br/>
      </w:r>
      <w:r w:rsidRPr="001A1823">
        <w:rPr>
          <w:rFonts w:ascii="Times New Roman" w:hAnsi="Times New Roman" w:cs="Times New Roman"/>
        </w:rPr>
        <w:t>j.jfa.20130101.12</w:t>
      </w:r>
    </w:p>
    <w:p w14:paraId="01F0EA86" w14:textId="46144697"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Fauver, L., Hung, M., Li, X., &amp; Taboada, A. G. (2017). Board reforms and firm value: Worldwide evidence. </w:t>
      </w:r>
      <w:r w:rsidRPr="001A1823">
        <w:rPr>
          <w:rFonts w:ascii="Times New Roman" w:hAnsi="Times New Roman" w:cs="Times New Roman"/>
          <w:i/>
          <w:iCs/>
        </w:rPr>
        <w:t>Journal of Financial Economics</w:t>
      </w:r>
      <w:r w:rsidRPr="001A1823">
        <w:rPr>
          <w:rFonts w:ascii="Times New Roman" w:hAnsi="Times New Roman" w:cs="Times New Roman"/>
        </w:rPr>
        <w:t xml:space="preserve">, </w:t>
      </w:r>
      <w:r w:rsidRPr="001A1823">
        <w:rPr>
          <w:rFonts w:ascii="Times New Roman" w:hAnsi="Times New Roman" w:cs="Times New Roman"/>
          <w:i/>
          <w:iCs/>
        </w:rPr>
        <w:t>125</w:t>
      </w:r>
      <w:r w:rsidRPr="001A1823">
        <w:rPr>
          <w:rFonts w:ascii="Times New Roman" w:hAnsi="Times New Roman" w:cs="Times New Roman"/>
        </w:rPr>
        <w:t xml:space="preserve">(1), </w:t>
      </w:r>
      <w:r w:rsidR="00DE179E">
        <w:rPr>
          <w:rFonts w:ascii="Times New Roman" w:hAnsi="Times New Roman" w:cs="Times New Roman"/>
        </w:rPr>
        <w:br/>
      </w:r>
      <w:r w:rsidRPr="001A1823">
        <w:rPr>
          <w:rFonts w:ascii="Times New Roman" w:hAnsi="Times New Roman" w:cs="Times New Roman"/>
        </w:rPr>
        <w:t>120</w:t>
      </w:r>
      <w:r w:rsidR="00DE179E">
        <w:rPr>
          <w:rFonts w:ascii="Times New Roman" w:hAnsi="Times New Roman" w:cs="Times New Roman"/>
        </w:rPr>
        <w:t>-</w:t>
      </w:r>
      <w:r w:rsidRPr="001A1823">
        <w:rPr>
          <w:rFonts w:ascii="Times New Roman" w:hAnsi="Times New Roman" w:cs="Times New Roman"/>
        </w:rPr>
        <w:t>142. https://doi.org/10.1016/j.jfineco.2017.04.010</w:t>
      </w:r>
    </w:p>
    <w:p w14:paraId="4E895BB4" w14:textId="3C931B8C"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Feleagă, N., Feleagă, L., Dragomir, V. D., &amp; Bigioi, A. D. (2011). Corporate governance in emerging economies: The case of romania. </w:t>
      </w:r>
      <w:r w:rsidRPr="001A1823">
        <w:rPr>
          <w:rFonts w:ascii="Times New Roman" w:hAnsi="Times New Roman" w:cs="Times New Roman"/>
          <w:i/>
          <w:iCs/>
        </w:rPr>
        <w:t>Theoretical and Applied Economics</w:t>
      </w:r>
      <w:r w:rsidRPr="001A1823">
        <w:rPr>
          <w:rFonts w:ascii="Times New Roman" w:hAnsi="Times New Roman" w:cs="Times New Roman"/>
        </w:rPr>
        <w:t xml:space="preserve">, </w:t>
      </w:r>
      <w:r w:rsidRPr="001A1823">
        <w:rPr>
          <w:rFonts w:ascii="Times New Roman" w:hAnsi="Times New Roman" w:cs="Times New Roman"/>
          <w:i/>
          <w:iCs/>
        </w:rPr>
        <w:t>XVIII(2011)</w:t>
      </w:r>
      <w:r w:rsidRPr="001A1823">
        <w:rPr>
          <w:rFonts w:ascii="Times New Roman" w:hAnsi="Times New Roman" w:cs="Times New Roman"/>
        </w:rPr>
        <w:t>(9(562)), 5</w:t>
      </w:r>
      <w:r w:rsidR="00DE179E">
        <w:rPr>
          <w:rFonts w:ascii="Times New Roman" w:hAnsi="Times New Roman" w:cs="Times New Roman"/>
        </w:rPr>
        <w:t>-</w:t>
      </w:r>
      <w:r w:rsidRPr="001A1823">
        <w:rPr>
          <w:rFonts w:ascii="Times New Roman" w:hAnsi="Times New Roman" w:cs="Times New Roman"/>
        </w:rPr>
        <w:t>16. https://ideas.repec.org//a/</w:t>
      </w:r>
      <w:r w:rsidR="00DE179E">
        <w:rPr>
          <w:rFonts w:ascii="Times New Roman" w:hAnsi="Times New Roman" w:cs="Times New Roman"/>
        </w:rPr>
        <w:br/>
      </w:r>
      <w:r w:rsidRPr="001A1823">
        <w:rPr>
          <w:rFonts w:ascii="Times New Roman" w:hAnsi="Times New Roman" w:cs="Times New Roman"/>
        </w:rPr>
        <w:t>agr/journl/v9(562)y2011i9(562)p5-16.html</w:t>
      </w:r>
    </w:p>
    <w:p w14:paraId="068FDE43" w14:textId="77777777"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Gaio, L. E., Lucas, A. C., Junior, J. H. P., &amp; Belli, M. M. (2024). Gender diversity in management and corporate financial performance: A systematic literature review. </w:t>
      </w:r>
      <w:r w:rsidRPr="001A1823">
        <w:rPr>
          <w:rFonts w:ascii="Times New Roman" w:hAnsi="Times New Roman" w:cs="Times New Roman"/>
          <w:i/>
          <w:iCs/>
        </w:rPr>
        <w:t>Corporate Social Responsibility and Environmental Management</w:t>
      </w:r>
      <w:r w:rsidRPr="001A1823">
        <w:rPr>
          <w:rFonts w:ascii="Times New Roman" w:hAnsi="Times New Roman" w:cs="Times New Roman"/>
        </w:rPr>
        <w:t xml:space="preserve">, </w:t>
      </w:r>
      <w:r w:rsidRPr="001A1823">
        <w:rPr>
          <w:rFonts w:ascii="Times New Roman" w:hAnsi="Times New Roman" w:cs="Times New Roman"/>
          <w:i/>
          <w:iCs/>
        </w:rPr>
        <w:t>31</w:t>
      </w:r>
      <w:r w:rsidRPr="001A1823">
        <w:rPr>
          <w:rFonts w:ascii="Times New Roman" w:hAnsi="Times New Roman" w:cs="Times New Roman"/>
        </w:rPr>
        <w:t>(5), 4047–4067. https://doi.org/10.1002/csr.2793</w:t>
      </w:r>
    </w:p>
    <w:p w14:paraId="6B8F2401" w14:textId="0FA2C4BA"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García, C. J., &amp; Herrero, B. (2021). Female directors, capital structure, and financial distress. </w:t>
      </w:r>
      <w:r w:rsidRPr="001A1823">
        <w:rPr>
          <w:rFonts w:ascii="Times New Roman" w:hAnsi="Times New Roman" w:cs="Times New Roman"/>
          <w:i/>
          <w:iCs/>
        </w:rPr>
        <w:t>Journal of Business Research</w:t>
      </w:r>
      <w:r w:rsidRPr="001A1823">
        <w:rPr>
          <w:rFonts w:ascii="Times New Roman" w:hAnsi="Times New Roman" w:cs="Times New Roman"/>
        </w:rPr>
        <w:t xml:space="preserve">, </w:t>
      </w:r>
      <w:r w:rsidRPr="001A1823">
        <w:rPr>
          <w:rFonts w:ascii="Times New Roman" w:hAnsi="Times New Roman" w:cs="Times New Roman"/>
          <w:i/>
          <w:iCs/>
        </w:rPr>
        <w:t>136</w:t>
      </w:r>
      <w:r w:rsidRPr="001A1823">
        <w:rPr>
          <w:rFonts w:ascii="Times New Roman" w:hAnsi="Times New Roman" w:cs="Times New Roman"/>
        </w:rPr>
        <w:t>, 592</w:t>
      </w:r>
      <w:r w:rsidR="00C65CA3">
        <w:rPr>
          <w:rFonts w:ascii="Times New Roman" w:hAnsi="Times New Roman" w:cs="Times New Roman"/>
        </w:rPr>
        <w:t>-</w:t>
      </w:r>
      <w:r w:rsidRPr="001A1823">
        <w:rPr>
          <w:rFonts w:ascii="Times New Roman" w:hAnsi="Times New Roman" w:cs="Times New Roman"/>
        </w:rPr>
        <w:t>601. https://doi.org/</w:t>
      </w:r>
      <w:r w:rsidR="00C65CA3">
        <w:rPr>
          <w:rFonts w:ascii="Times New Roman" w:hAnsi="Times New Roman" w:cs="Times New Roman"/>
        </w:rPr>
        <w:br/>
      </w:r>
      <w:r w:rsidRPr="001A1823">
        <w:rPr>
          <w:rFonts w:ascii="Times New Roman" w:hAnsi="Times New Roman" w:cs="Times New Roman"/>
        </w:rPr>
        <w:t>10.1016/j.jbusres.2021.07.061</w:t>
      </w:r>
    </w:p>
    <w:p w14:paraId="5CA1DFBC" w14:textId="77777777"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Gezgin, T., Özer, G., Merter, A. K., &amp; Balcıoğlu, Y. S. (2024). The mediating role of corporate governance in the relationship between net profit and equity and voluntary disclosure in the context of legitimacy theory. </w:t>
      </w:r>
      <w:r w:rsidRPr="001A1823">
        <w:rPr>
          <w:rFonts w:ascii="Times New Roman" w:hAnsi="Times New Roman" w:cs="Times New Roman"/>
          <w:i/>
          <w:iCs/>
        </w:rPr>
        <w:t>Sustainability</w:t>
      </w:r>
      <w:r w:rsidRPr="001A1823">
        <w:rPr>
          <w:rFonts w:ascii="Times New Roman" w:hAnsi="Times New Roman" w:cs="Times New Roman"/>
        </w:rPr>
        <w:t xml:space="preserve">, </w:t>
      </w:r>
      <w:r w:rsidRPr="001A1823">
        <w:rPr>
          <w:rFonts w:ascii="Times New Roman" w:hAnsi="Times New Roman" w:cs="Times New Roman"/>
          <w:i/>
          <w:iCs/>
        </w:rPr>
        <w:t>16</w:t>
      </w:r>
      <w:r w:rsidRPr="001A1823">
        <w:rPr>
          <w:rFonts w:ascii="Times New Roman" w:hAnsi="Times New Roman" w:cs="Times New Roman"/>
        </w:rPr>
        <w:t>(10), 4097. https://doi.org/10.3390/su16104097</w:t>
      </w:r>
    </w:p>
    <w:p w14:paraId="491107A3" w14:textId="2C3D879C"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Green, C. P., &amp; Homroy, S. (2018). Female directors, board committees and firm performance. </w:t>
      </w:r>
      <w:r w:rsidRPr="001A1823">
        <w:rPr>
          <w:rFonts w:ascii="Times New Roman" w:hAnsi="Times New Roman" w:cs="Times New Roman"/>
          <w:i/>
          <w:iCs/>
        </w:rPr>
        <w:t>European Economic Review</w:t>
      </w:r>
      <w:r w:rsidRPr="001A1823">
        <w:rPr>
          <w:rFonts w:ascii="Times New Roman" w:hAnsi="Times New Roman" w:cs="Times New Roman"/>
        </w:rPr>
        <w:t xml:space="preserve">, </w:t>
      </w:r>
      <w:r w:rsidRPr="001A1823">
        <w:rPr>
          <w:rFonts w:ascii="Times New Roman" w:hAnsi="Times New Roman" w:cs="Times New Roman"/>
          <w:i/>
          <w:iCs/>
        </w:rPr>
        <w:t>102</w:t>
      </w:r>
      <w:r w:rsidRPr="001A1823">
        <w:rPr>
          <w:rFonts w:ascii="Times New Roman" w:hAnsi="Times New Roman" w:cs="Times New Roman"/>
        </w:rPr>
        <w:t>, 19</w:t>
      </w:r>
      <w:r w:rsidR="00C65CA3">
        <w:rPr>
          <w:rFonts w:ascii="Times New Roman" w:hAnsi="Times New Roman" w:cs="Times New Roman"/>
        </w:rPr>
        <w:t>-</w:t>
      </w:r>
      <w:r w:rsidRPr="001A1823">
        <w:rPr>
          <w:rFonts w:ascii="Times New Roman" w:hAnsi="Times New Roman" w:cs="Times New Roman"/>
        </w:rPr>
        <w:t>38. https://doi.org/10.1016/j.euroecorev.2017.12.003</w:t>
      </w:r>
    </w:p>
    <w:p w14:paraId="2A904A8B" w14:textId="77777777"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Hamad, H. A., &amp; Cek, K. (2023). The moderating effects of corporate social responsibility on corporate financial performance: Evidence from oecd countries. </w:t>
      </w:r>
      <w:r w:rsidRPr="001A1823">
        <w:rPr>
          <w:rFonts w:ascii="Times New Roman" w:hAnsi="Times New Roman" w:cs="Times New Roman"/>
          <w:i/>
          <w:iCs/>
        </w:rPr>
        <w:t>Sustainability</w:t>
      </w:r>
      <w:r w:rsidRPr="001A1823">
        <w:rPr>
          <w:rFonts w:ascii="Times New Roman" w:hAnsi="Times New Roman" w:cs="Times New Roman"/>
        </w:rPr>
        <w:t xml:space="preserve">, </w:t>
      </w:r>
      <w:r w:rsidRPr="001A1823">
        <w:rPr>
          <w:rFonts w:ascii="Times New Roman" w:hAnsi="Times New Roman" w:cs="Times New Roman"/>
          <w:i/>
          <w:iCs/>
        </w:rPr>
        <w:t>15</w:t>
      </w:r>
      <w:r w:rsidRPr="001A1823">
        <w:rPr>
          <w:rFonts w:ascii="Times New Roman" w:hAnsi="Times New Roman" w:cs="Times New Roman"/>
        </w:rPr>
        <w:t>(11), 8901. https://doi.org/10.3390/su15118901</w:t>
      </w:r>
    </w:p>
    <w:p w14:paraId="1B3905E5" w14:textId="3C44B472"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Hazaea, S. A., Tabash, M. I., Khatib, S. F. A., Zhu, J., &amp; Al-Kuhali, A. A. (2020). The impact of internal audit quality on financial performance of yemeni commercial banks: An empirical investigation. </w:t>
      </w:r>
      <w:r w:rsidRPr="001A1823">
        <w:rPr>
          <w:rFonts w:ascii="Times New Roman" w:hAnsi="Times New Roman" w:cs="Times New Roman"/>
          <w:i/>
          <w:iCs/>
        </w:rPr>
        <w:t>The Journal of Asian Finance, Economics and Business</w:t>
      </w:r>
      <w:r w:rsidRPr="001A1823">
        <w:rPr>
          <w:rFonts w:ascii="Times New Roman" w:hAnsi="Times New Roman" w:cs="Times New Roman"/>
        </w:rPr>
        <w:t xml:space="preserve">, </w:t>
      </w:r>
      <w:r w:rsidRPr="001A1823">
        <w:rPr>
          <w:rFonts w:ascii="Times New Roman" w:hAnsi="Times New Roman" w:cs="Times New Roman"/>
          <w:i/>
          <w:iCs/>
        </w:rPr>
        <w:t>7</w:t>
      </w:r>
      <w:r w:rsidRPr="001A1823">
        <w:rPr>
          <w:rFonts w:ascii="Times New Roman" w:hAnsi="Times New Roman" w:cs="Times New Roman"/>
        </w:rPr>
        <w:t>(11), 867</w:t>
      </w:r>
      <w:r w:rsidR="003877FA">
        <w:rPr>
          <w:rFonts w:ascii="Times New Roman" w:hAnsi="Times New Roman" w:cs="Times New Roman"/>
        </w:rPr>
        <w:t>-</w:t>
      </w:r>
      <w:r w:rsidRPr="001A1823">
        <w:rPr>
          <w:rFonts w:ascii="Times New Roman" w:hAnsi="Times New Roman" w:cs="Times New Roman"/>
        </w:rPr>
        <w:t>875. https://doi.org/10.13106/JAFEB.2020.VOL7.NO11.867</w:t>
      </w:r>
    </w:p>
    <w:p w14:paraId="57B4A1DB" w14:textId="77777777"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Hsu, Y.-L., &amp; Yang, Y.-C. (2022). Corporate governance and financial reporting quality during the COVID-19 pandemic. </w:t>
      </w:r>
      <w:r w:rsidRPr="001A1823">
        <w:rPr>
          <w:rFonts w:ascii="Times New Roman" w:hAnsi="Times New Roman" w:cs="Times New Roman"/>
          <w:i/>
          <w:iCs/>
        </w:rPr>
        <w:t>Finance Research Letters</w:t>
      </w:r>
      <w:r w:rsidRPr="001A1823">
        <w:rPr>
          <w:rFonts w:ascii="Times New Roman" w:hAnsi="Times New Roman" w:cs="Times New Roman"/>
        </w:rPr>
        <w:t xml:space="preserve">, </w:t>
      </w:r>
      <w:r w:rsidRPr="001A1823">
        <w:rPr>
          <w:rFonts w:ascii="Times New Roman" w:hAnsi="Times New Roman" w:cs="Times New Roman"/>
          <w:i/>
          <w:iCs/>
        </w:rPr>
        <w:t>47</w:t>
      </w:r>
      <w:r w:rsidRPr="001A1823">
        <w:rPr>
          <w:rFonts w:ascii="Times New Roman" w:hAnsi="Times New Roman" w:cs="Times New Roman"/>
        </w:rPr>
        <w:t>, 102778. https://doi.org/10.1016/j.frl.2022.102778</w:t>
      </w:r>
    </w:p>
    <w:p w14:paraId="47B2276C" w14:textId="77777777"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Huynh, Q. L., Hoque, M. E., Susanto, P., Watto, W. A., &amp; Ashraf, M. (2022). Does financial leverage mediates corporate governance and firm performance? </w:t>
      </w:r>
      <w:r w:rsidRPr="001A1823">
        <w:rPr>
          <w:rFonts w:ascii="Times New Roman" w:hAnsi="Times New Roman" w:cs="Times New Roman"/>
          <w:i/>
          <w:iCs/>
        </w:rPr>
        <w:t>Sustainability</w:t>
      </w:r>
      <w:r w:rsidRPr="001A1823">
        <w:rPr>
          <w:rFonts w:ascii="Times New Roman" w:hAnsi="Times New Roman" w:cs="Times New Roman"/>
        </w:rPr>
        <w:t xml:space="preserve">, </w:t>
      </w:r>
      <w:r w:rsidRPr="001A1823">
        <w:rPr>
          <w:rFonts w:ascii="Times New Roman" w:hAnsi="Times New Roman" w:cs="Times New Roman"/>
          <w:i/>
          <w:iCs/>
        </w:rPr>
        <w:t>14</w:t>
      </w:r>
      <w:r w:rsidRPr="001A1823">
        <w:rPr>
          <w:rFonts w:ascii="Times New Roman" w:hAnsi="Times New Roman" w:cs="Times New Roman"/>
        </w:rPr>
        <w:t>(20), 13545. https://doi.org/10.3390/su142013545</w:t>
      </w:r>
    </w:p>
    <w:p w14:paraId="5569A2F5" w14:textId="4C5E516A"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Iona</w:t>
      </w:r>
      <w:r w:rsidRPr="001A1823">
        <w:rPr>
          <w:rFonts w:ascii="Times New Roman" w:hAnsi="Times New Roman" w:cs="Times New Roman"/>
          <w:lang w:val="ro-RO"/>
        </w:rPr>
        <w:t>ș</w:t>
      </w:r>
      <w:r w:rsidRPr="001A1823">
        <w:rPr>
          <w:rFonts w:ascii="Times New Roman" w:hAnsi="Times New Roman" w:cs="Times New Roman"/>
        </w:rPr>
        <w:t xml:space="preserve">cu, M., Ionașcu, I., Săcărin, M., &amp; Minu, M. (2018). Women on boards and financial performance: Evidence from a European emerging market. </w:t>
      </w:r>
      <w:r w:rsidRPr="001A1823">
        <w:rPr>
          <w:rFonts w:ascii="Times New Roman" w:hAnsi="Times New Roman" w:cs="Times New Roman"/>
          <w:i/>
          <w:iCs/>
        </w:rPr>
        <w:t>Sustainability</w:t>
      </w:r>
      <w:r w:rsidRPr="001A1823">
        <w:rPr>
          <w:rFonts w:ascii="Times New Roman" w:hAnsi="Times New Roman" w:cs="Times New Roman"/>
        </w:rPr>
        <w:t xml:space="preserve">, </w:t>
      </w:r>
      <w:r w:rsidRPr="001A1823">
        <w:rPr>
          <w:rFonts w:ascii="Times New Roman" w:hAnsi="Times New Roman" w:cs="Times New Roman"/>
          <w:i/>
          <w:iCs/>
        </w:rPr>
        <w:t>10</w:t>
      </w:r>
      <w:r w:rsidRPr="001A1823">
        <w:rPr>
          <w:rFonts w:ascii="Times New Roman" w:hAnsi="Times New Roman" w:cs="Times New Roman"/>
        </w:rPr>
        <w:t>(5), 1644. https://doi.org/10.3390/su10051644</w:t>
      </w:r>
    </w:p>
    <w:p w14:paraId="4118DDA7" w14:textId="32CB51FB" w:rsid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Kluza, K., &amp; Chmielewska, A. (2025). Sustainable corporate development: Shareholder value and environmental, social and governance risk ratings in central european capital markets. </w:t>
      </w:r>
      <w:r w:rsidRPr="001A1823">
        <w:rPr>
          <w:rFonts w:ascii="Times New Roman" w:hAnsi="Times New Roman" w:cs="Times New Roman"/>
          <w:i/>
          <w:iCs/>
        </w:rPr>
        <w:t>Sustainability</w:t>
      </w:r>
      <w:r w:rsidRPr="001A1823">
        <w:rPr>
          <w:rFonts w:ascii="Times New Roman" w:hAnsi="Times New Roman" w:cs="Times New Roman"/>
        </w:rPr>
        <w:t xml:space="preserve">, </w:t>
      </w:r>
      <w:r w:rsidRPr="001A1823">
        <w:rPr>
          <w:rFonts w:ascii="Times New Roman" w:hAnsi="Times New Roman" w:cs="Times New Roman"/>
          <w:i/>
          <w:iCs/>
        </w:rPr>
        <w:t>17</w:t>
      </w:r>
      <w:r w:rsidRPr="001A1823">
        <w:rPr>
          <w:rFonts w:ascii="Times New Roman" w:hAnsi="Times New Roman" w:cs="Times New Roman"/>
        </w:rPr>
        <w:t>(21), 9379. https://doi.org/10.3390/su17219379</w:t>
      </w:r>
    </w:p>
    <w:p w14:paraId="71FC1832" w14:textId="1FB2506D"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Kuzey, C., Al-Shaer, H., Karaman, A. S., &amp; Uyar, A. (2023). Public governance, corporate governance and excessive ESG. </w:t>
      </w:r>
      <w:r w:rsidRPr="001A1823">
        <w:rPr>
          <w:rFonts w:ascii="Times New Roman" w:hAnsi="Times New Roman" w:cs="Times New Roman"/>
          <w:i/>
          <w:iCs/>
        </w:rPr>
        <w:t>Corporate Governance: The International Journal of Business in Society</w:t>
      </w:r>
      <w:r w:rsidRPr="001A1823">
        <w:rPr>
          <w:rFonts w:ascii="Times New Roman" w:hAnsi="Times New Roman" w:cs="Times New Roman"/>
        </w:rPr>
        <w:t xml:space="preserve">, </w:t>
      </w:r>
      <w:r w:rsidRPr="001A1823">
        <w:rPr>
          <w:rFonts w:ascii="Times New Roman" w:hAnsi="Times New Roman" w:cs="Times New Roman"/>
          <w:i/>
          <w:iCs/>
        </w:rPr>
        <w:t>23</w:t>
      </w:r>
      <w:r w:rsidRPr="001A1823">
        <w:rPr>
          <w:rFonts w:ascii="Times New Roman" w:hAnsi="Times New Roman" w:cs="Times New Roman"/>
        </w:rPr>
        <w:t>(7), 1748</w:t>
      </w:r>
      <w:r w:rsidR="003877FA">
        <w:rPr>
          <w:rFonts w:ascii="Times New Roman" w:hAnsi="Times New Roman" w:cs="Times New Roman"/>
        </w:rPr>
        <w:t>-</w:t>
      </w:r>
      <w:r w:rsidRPr="001A1823">
        <w:rPr>
          <w:rFonts w:ascii="Times New Roman" w:hAnsi="Times New Roman" w:cs="Times New Roman"/>
        </w:rPr>
        <w:t>1777. https://doi.org/10.1108/CG-01-2023-0028</w:t>
      </w:r>
    </w:p>
    <w:p w14:paraId="64D41C3E" w14:textId="1A7D39A5"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Kyere, M., &amp; Ausloos, M. (2021). Corporate governance and firms financial performance in the United Kingdom. </w:t>
      </w:r>
      <w:r w:rsidRPr="001A1823">
        <w:rPr>
          <w:rFonts w:ascii="Times New Roman" w:hAnsi="Times New Roman" w:cs="Times New Roman"/>
          <w:i/>
          <w:iCs/>
        </w:rPr>
        <w:t>International Journal of Finance &amp; Economics</w:t>
      </w:r>
      <w:r w:rsidRPr="001A1823">
        <w:rPr>
          <w:rFonts w:ascii="Times New Roman" w:hAnsi="Times New Roman" w:cs="Times New Roman"/>
        </w:rPr>
        <w:t xml:space="preserve">, </w:t>
      </w:r>
      <w:r w:rsidRPr="001A1823">
        <w:rPr>
          <w:rFonts w:ascii="Times New Roman" w:hAnsi="Times New Roman" w:cs="Times New Roman"/>
          <w:i/>
          <w:iCs/>
        </w:rPr>
        <w:t>26</w:t>
      </w:r>
      <w:r w:rsidRPr="001A1823">
        <w:rPr>
          <w:rFonts w:ascii="Times New Roman" w:hAnsi="Times New Roman" w:cs="Times New Roman"/>
        </w:rPr>
        <w:t>(2), 1871</w:t>
      </w:r>
      <w:r w:rsidR="004D58AB">
        <w:rPr>
          <w:rFonts w:ascii="Times New Roman" w:hAnsi="Times New Roman" w:cs="Times New Roman"/>
        </w:rPr>
        <w:t>-</w:t>
      </w:r>
      <w:r w:rsidRPr="001A1823">
        <w:rPr>
          <w:rFonts w:ascii="Times New Roman" w:hAnsi="Times New Roman" w:cs="Times New Roman"/>
        </w:rPr>
        <w:t>1885. https://doi.org/10.1002/ijfe.1883</w:t>
      </w:r>
    </w:p>
    <w:p w14:paraId="67F514EE" w14:textId="77777777"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Lai, S.-M., &amp; Liu, C.-L. (2025). How do global board reforms affect managerial investment decisions? </w:t>
      </w:r>
      <w:r w:rsidRPr="001A1823">
        <w:rPr>
          <w:rFonts w:ascii="Times New Roman" w:hAnsi="Times New Roman" w:cs="Times New Roman"/>
          <w:i/>
          <w:iCs/>
        </w:rPr>
        <w:t>Research in International Business and Finance</w:t>
      </w:r>
      <w:r w:rsidRPr="001A1823">
        <w:rPr>
          <w:rFonts w:ascii="Times New Roman" w:hAnsi="Times New Roman" w:cs="Times New Roman"/>
        </w:rPr>
        <w:t xml:space="preserve">, </w:t>
      </w:r>
      <w:r w:rsidRPr="001A1823">
        <w:rPr>
          <w:rFonts w:ascii="Times New Roman" w:hAnsi="Times New Roman" w:cs="Times New Roman"/>
          <w:i/>
          <w:iCs/>
        </w:rPr>
        <w:t>77</w:t>
      </w:r>
      <w:r w:rsidRPr="001A1823">
        <w:rPr>
          <w:rFonts w:ascii="Times New Roman" w:hAnsi="Times New Roman" w:cs="Times New Roman"/>
        </w:rPr>
        <w:t>, 102934. https://doi.org/10.1016/j.ribaf.2025.102934</w:t>
      </w:r>
    </w:p>
    <w:p w14:paraId="5B210E50" w14:textId="3454DBAF"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Lee, K. W., &amp; Thong, T. Y. (2023). Board gender diversity, firm performance and corporate financial distress risk: International evidence from tourism industry. </w:t>
      </w:r>
      <w:r w:rsidRPr="001A1823">
        <w:rPr>
          <w:rFonts w:ascii="Times New Roman" w:hAnsi="Times New Roman" w:cs="Times New Roman"/>
          <w:i/>
          <w:iCs/>
        </w:rPr>
        <w:t>Equality, Diversity and Inclusion: An International Journal</w:t>
      </w:r>
      <w:r w:rsidRPr="001A1823">
        <w:rPr>
          <w:rFonts w:ascii="Times New Roman" w:hAnsi="Times New Roman" w:cs="Times New Roman"/>
        </w:rPr>
        <w:t xml:space="preserve">, </w:t>
      </w:r>
      <w:r w:rsidRPr="001A1823">
        <w:rPr>
          <w:rFonts w:ascii="Times New Roman" w:hAnsi="Times New Roman" w:cs="Times New Roman"/>
          <w:i/>
          <w:iCs/>
        </w:rPr>
        <w:t>42</w:t>
      </w:r>
      <w:r w:rsidRPr="001A1823">
        <w:rPr>
          <w:rFonts w:ascii="Times New Roman" w:hAnsi="Times New Roman" w:cs="Times New Roman"/>
        </w:rPr>
        <w:t>(4), 530</w:t>
      </w:r>
      <w:r w:rsidR="0030127D">
        <w:rPr>
          <w:rFonts w:ascii="Times New Roman" w:hAnsi="Times New Roman" w:cs="Times New Roman"/>
        </w:rPr>
        <w:t>-</w:t>
      </w:r>
      <w:r w:rsidRPr="001A1823">
        <w:rPr>
          <w:rFonts w:ascii="Times New Roman" w:hAnsi="Times New Roman" w:cs="Times New Roman"/>
        </w:rPr>
        <w:t>550. https://doi.org/10.1108/EDI-11-2021-0283</w:t>
      </w:r>
    </w:p>
    <w:p w14:paraId="1E2EF752" w14:textId="77777777"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Liao, C.-H., San, Z., &amp; Tsang, A. (2024). Corporate governance reforms and voluntary disclosure: International evidence on management earnings forecasts. </w:t>
      </w:r>
      <w:r w:rsidRPr="001A1823">
        <w:rPr>
          <w:rFonts w:ascii="Times New Roman" w:hAnsi="Times New Roman" w:cs="Times New Roman"/>
          <w:i/>
          <w:iCs/>
        </w:rPr>
        <w:t>Journal of International Accounting, Auditing and Taxation</w:t>
      </w:r>
      <w:r w:rsidRPr="001A1823">
        <w:rPr>
          <w:rFonts w:ascii="Times New Roman" w:hAnsi="Times New Roman" w:cs="Times New Roman"/>
        </w:rPr>
        <w:t xml:space="preserve">, </w:t>
      </w:r>
      <w:r w:rsidRPr="001A1823">
        <w:rPr>
          <w:rFonts w:ascii="Times New Roman" w:hAnsi="Times New Roman" w:cs="Times New Roman"/>
          <w:i/>
          <w:iCs/>
        </w:rPr>
        <w:t>54</w:t>
      </w:r>
      <w:r w:rsidRPr="001A1823">
        <w:rPr>
          <w:rFonts w:ascii="Times New Roman" w:hAnsi="Times New Roman" w:cs="Times New Roman"/>
        </w:rPr>
        <w:t>, 100602. https://doi.org/10.1016/j.intaccaudtax.2024.100602</w:t>
      </w:r>
    </w:p>
    <w:p w14:paraId="0AD2B99E" w14:textId="77777777"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Melón-Izco, Á., Ruiz-Cabestre, F. J., &amp; Ruiz-Olalla, M. C. (2020). Diversity in the board of directors and good governance practices. </w:t>
      </w:r>
      <w:r w:rsidRPr="001A1823">
        <w:rPr>
          <w:rFonts w:ascii="Times New Roman" w:hAnsi="Times New Roman" w:cs="Times New Roman"/>
          <w:i/>
          <w:iCs/>
        </w:rPr>
        <w:t>Economics and Business Letters</w:t>
      </w:r>
      <w:r w:rsidRPr="001A1823">
        <w:rPr>
          <w:rFonts w:ascii="Times New Roman" w:hAnsi="Times New Roman" w:cs="Times New Roman"/>
        </w:rPr>
        <w:t xml:space="preserve">, </w:t>
      </w:r>
      <w:r w:rsidRPr="001A1823">
        <w:rPr>
          <w:rFonts w:ascii="Times New Roman" w:hAnsi="Times New Roman" w:cs="Times New Roman"/>
          <w:i/>
          <w:iCs/>
        </w:rPr>
        <w:t>9</w:t>
      </w:r>
      <w:r w:rsidRPr="001A1823">
        <w:rPr>
          <w:rFonts w:ascii="Times New Roman" w:hAnsi="Times New Roman" w:cs="Times New Roman"/>
        </w:rPr>
        <w:t>(2), 97. https://doi.org/10.17811/ebl.9.2.2020.97-105</w:t>
      </w:r>
    </w:p>
    <w:p w14:paraId="7700E04B" w14:textId="624DBDC5"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Meqbel, R., Dwekat, A., Zaid, M. A. A., Alta’any, M., &amp; Abukhaled, A. M. (2026). Governance for a greener Europe: Audit committee and carbon emission. </w:t>
      </w:r>
      <w:r w:rsidRPr="001A1823">
        <w:rPr>
          <w:rFonts w:ascii="Times New Roman" w:hAnsi="Times New Roman" w:cs="Times New Roman"/>
          <w:i/>
          <w:iCs/>
        </w:rPr>
        <w:t>Journal of Financial Reporting and Accounting</w:t>
      </w:r>
      <w:r w:rsidRPr="001A1823">
        <w:rPr>
          <w:rFonts w:ascii="Times New Roman" w:hAnsi="Times New Roman" w:cs="Times New Roman"/>
        </w:rPr>
        <w:t xml:space="preserve">, </w:t>
      </w:r>
      <w:r w:rsidRPr="001A1823">
        <w:rPr>
          <w:rFonts w:ascii="Times New Roman" w:hAnsi="Times New Roman" w:cs="Times New Roman"/>
          <w:i/>
          <w:iCs/>
        </w:rPr>
        <w:t>24</w:t>
      </w:r>
      <w:r w:rsidRPr="001A1823">
        <w:rPr>
          <w:rFonts w:ascii="Times New Roman" w:hAnsi="Times New Roman" w:cs="Times New Roman"/>
        </w:rPr>
        <w:t>(3), 1281</w:t>
      </w:r>
      <w:r w:rsidR="0030127D">
        <w:rPr>
          <w:rFonts w:ascii="Times New Roman" w:hAnsi="Times New Roman" w:cs="Times New Roman"/>
        </w:rPr>
        <w:t>-</w:t>
      </w:r>
      <w:r w:rsidRPr="001A1823">
        <w:rPr>
          <w:rFonts w:ascii="Times New Roman" w:hAnsi="Times New Roman" w:cs="Times New Roman"/>
        </w:rPr>
        <w:t>1311. https://doi.org/10.1108/JFRA-10-2024-0719</w:t>
      </w:r>
    </w:p>
    <w:p w14:paraId="404F3F01" w14:textId="77777777"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Mihail, B. A., Dumitrescu, D., Micu, C. D., &amp; Lobda, A. (2021). The impact of board diversity, ceo characteristics, and board committees on financial performance in the case of romanian companies. </w:t>
      </w:r>
      <w:r w:rsidRPr="001A1823">
        <w:rPr>
          <w:rFonts w:ascii="Times New Roman" w:hAnsi="Times New Roman" w:cs="Times New Roman"/>
          <w:i/>
          <w:iCs/>
        </w:rPr>
        <w:t>Journal of Risk and Financial Management</w:t>
      </w:r>
      <w:r w:rsidRPr="001A1823">
        <w:rPr>
          <w:rFonts w:ascii="Times New Roman" w:hAnsi="Times New Roman" w:cs="Times New Roman"/>
        </w:rPr>
        <w:t xml:space="preserve">, </w:t>
      </w:r>
      <w:r w:rsidRPr="001A1823">
        <w:rPr>
          <w:rFonts w:ascii="Times New Roman" w:hAnsi="Times New Roman" w:cs="Times New Roman"/>
          <w:i/>
          <w:iCs/>
        </w:rPr>
        <w:t>15</w:t>
      </w:r>
      <w:r w:rsidRPr="001A1823">
        <w:rPr>
          <w:rFonts w:ascii="Times New Roman" w:hAnsi="Times New Roman" w:cs="Times New Roman"/>
        </w:rPr>
        <w:t>(1), 7. https://doi.org/10.3390/jrfm15010007</w:t>
      </w:r>
    </w:p>
    <w:p w14:paraId="060F79E6" w14:textId="5D29ED0D"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Minichilli, A., Brogi, M., &amp; Calabrò, A. (2016). Weathering the storm: Family ownership, governance, and performance through the financial and economic crisis. </w:t>
      </w:r>
      <w:r w:rsidRPr="001A1823">
        <w:rPr>
          <w:rFonts w:ascii="Times New Roman" w:hAnsi="Times New Roman" w:cs="Times New Roman"/>
          <w:i/>
          <w:iCs/>
        </w:rPr>
        <w:t>Corporate Governance: An International Review</w:t>
      </w:r>
      <w:r w:rsidRPr="001A1823">
        <w:rPr>
          <w:rFonts w:ascii="Times New Roman" w:hAnsi="Times New Roman" w:cs="Times New Roman"/>
        </w:rPr>
        <w:t xml:space="preserve">, </w:t>
      </w:r>
      <w:r w:rsidRPr="001A1823">
        <w:rPr>
          <w:rFonts w:ascii="Times New Roman" w:hAnsi="Times New Roman" w:cs="Times New Roman"/>
          <w:i/>
          <w:iCs/>
        </w:rPr>
        <w:t>24</w:t>
      </w:r>
      <w:r w:rsidRPr="001A1823">
        <w:rPr>
          <w:rFonts w:ascii="Times New Roman" w:hAnsi="Times New Roman" w:cs="Times New Roman"/>
        </w:rPr>
        <w:t>(6), 552</w:t>
      </w:r>
      <w:r w:rsidR="0030127D">
        <w:rPr>
          <w:rFonts w:ascii="Times New Roman" w:hAnsi="Times New Roman" w:cs="Times New Roman"/>
        </w:rPr>
        <w:t>-</w:t>
      </w:r>
      <w:r w:rsidRPr="001A1823">
        <w:rPr>
          <w:rFonts w:ascii="Times New Roman" w:hAnsi="Times New Roman" w:cs="Times New Roman"/>
        </w:rPr>
        <w:t>568. https://doi.org/10.1111/corg.12125</w:t>
      </w:r>
    </w:p>
    <w:p w14:paraId="73386B9E" w14:textId="77777777"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Myriam, E., Quenum, G. G. Y., Gueye, M. M., Ouerghemmi, C., &amp; Sacko, M. (2025). More money, more ethical commitment? How corporate financial performance influences environmental social and governance practices. </w:t>
      </w:r>
      <w:r w:rsidRPr="001A1823">
        <w:rPr>
          <w:rFonts w:ascii="Times New Roman" w:hAnsi="Times New Roman" w:cs="Times New Roman"/>
          <w:i/>
          <w:iCs/>
        </w:rPr>
        <w:t>International Journal of Financial Studies</w:t>
      </w:r>
      <w:r w:rsidRPr="001A1823">
        <w:rPr>
          <w:rFonts w:ascii="Times New Roman" w:hAnsi="Times New Roman" w:cs="Times New Roman"/>
        </w:rPr>
        <w:t xml:space="preserve">, </w:t>
      </w:r>
      <w:r w:rsidRPr="001A1823">
        <w:rPr>
          <w:rFonts w:ascii="Times New Roman" w:hAnsi="Times New Roman" w:cs="Times New Roman"/>
          <w:i/>
          <w:iCs/>
        </w:rPr>
        <w:t>13</w:t>
      </w:r>
      <w:r w:rsidRPr="001A1823">
        <w:rPr>
          <w:rFonts w:ascii="Times New Roman" w:hAnsi="Times New Roman" w:cs="Times New Roman"/>
        </w:rPr>
        <w:t>(3), 159. https://doi.org/10.3390/ijfs13030159</w:t>
      </w:r>
    </w:p>
    <w:p w14:paraId="5828930A" w14:textId="110FFB92"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Nicolò, G., Zampone, G., Sannino, G., &amp; De Iorio, S. (2022). Sustainable corporate governance and non-financial disclosure in Europe: Does the gender diversity matter? </w:t>
      </w:r>
      <w:r w:rsidRPr="001A1823">
        <w:rPr>
          <w:rFonts w:ascii="Times New Roman" w:hAnsi="Times New Roman" w:cs="Times New Roman"/>
          <w:i/>
          <w:iCs/>
        </w:rPr>
        <w:t>Journal of Applied Accounting Research</w:t>
      </w:r>
      <w:r w:rsidRPr="001A1823">
        <w:rPr>
          <w:rFonts w:ascii="Times New Roman" w:hAnsi="Times New Roman" w:cs="Times New Roman"/>
        </w:rPr>
        <w:t xml:space="preserve">, </w:t>
      </w:r>
      <w:r w:rsidRPr="001A1823">
        <w:rPr>
          <w:rFonts w:ascii="Times New Roman" w:hAnsi="Times New Roman" w:cs="Times New Roman"/>
          <w:i/>
          <w:iCs/>
        </w:rPr>
        <w:t>23</w:t>
      </w:r>
      <w:r w:rsidRPr="001A1823">
        <w:rPr>
          <w:rFonts w:ascii="Times New Roman" w:hAnsi="Times New Roman" w:cs="Times New Roman"/>
        </w:rPr>
        <w:t>(1), 227</w:t>
      </w:r>
      <w:r w:rsidR="0030127D">
        <w:rPr>
          <w:rFonts w:ascii="Times New Roman" w:hAnsi="Times New Roman" w:cs="Times New Roman"/>
        </w:rPr>
        <w:t>-</w:t>
      </w:r>
      <w:r w:rsidRPr="001A1823">
        <w:rPr>
          <w:rFonts w:ascii="Times New Roman" w:hAnsi="Times New Roman" w:cs="Times New Roman"/>
        </w:rPr>
        <w:t>249. https://doi.org/10.1108/JAAR-04-2021-0100</w:t>
      </w:r>
    </w:p>
    <w:p w14:paraId="6B88C122" w14:textId="77777777"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OECD. (2023). </w:t>
      </w:r>
      <w:r w:rsidRPr="001A1823">
        <w:rPr>
          <w:rFonts w:ascii="Times New Roman" w:hAnsi="Times New Roman" w:cs="Times New Roman"/>
          <w:i/>
          <w:iCs/>
        </w:rPr>
        <w:t>G20/OECD principles of corporate governance 2023</w:t>
      </w:r>
      <w:r w:rsidRPr="001A1823">
        <w:rPr>
          <w:rFonts w:ascii="Times New Roman" w:hAnsi="Times New Roman" w:cs="Times New Roman"/>
        </w:rPr>
        <w:t>. OECD Publishing. https://doi.org/10.1787/ed750b30-en</w:t>
      </w:r>
    </w:p>
    <w:p w14:paraId="01FC52F7" w14:textId="10BFA267"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Ooghe, H., &amp; De Langhe, T. (2002). The Anglo‐American versus the Continental European corporate governance model: Empirical evidence of board composition in Belgium. </w:t>
      </w:r>
      <w:r w:rsidRPr="001A1823">
        <w:rPr>
          <w:rFonts w:ascii="Times New Roman" w:hAnsi="Times New Roman" w:cs="Times New Roman"/>
          <w:i/>
          <w:iCs/>
        </w:rPr>
        <w:t>European Business Review</w:t>
      </w:r>
      <w:r w:rsidRPr="001A1823">
        <w:rPr>
          <w:rFonts w:ascii="Times New Roman" w:hAnsi="Times New Roman" w:cs="Times New Roman"/>
        </w:rPr>
        <w:t xml:space="preserve">, </w:t>
      </w:r>
      <w:r w:rsidRPr="001A1823">
        <w:rPr>
          <w:rFonts w:ascii="Times New Roman" w:hAnsi="Times New Roman" w:cs="Times New Roman"/>
          <w:i/>
          <w:iCs/>
        </w:rPr>
        <w:t>14</w:t>
      </w:r>
      <w:r w:rsidRPr="001A1823">
        <w:rPr>
          <w:rFonts w:ascii="Times New Roman" w:hAnsi="Times New Roman" w:cs="Times New Roman"/>
        </w:rPr>
        <w:t>(6), 437</w:t>
      </w:r>
      <w:r w:rsidR="0030127D">
        <w:rPr>
          <w:rFonts w:ascii="Times New Roman" w:hAnsi="Times New Roman" w:cs="Times New Roman"/>
        </w:rPr>
        <w:t>-</w:t>
      </w:r>
      <w:r w:rsidRPr="001A1823">
        <w:rPr>
          <w:rFonts w:ascii="Times New Roman" w:hAnsi="Times New Roman" w:cs="Times New Roman"/>
        </w:rPr>
        <w:t>449. https://doi.org/10.1108/09555340210448794</w:t>
      </w:r>
    </w:p>
    <w:p w14:paraId="60204084" w14:textId="2180A37C"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Pasaribu, P. (2017). Female directors and firm performance: Evidence from UK listed firms. </w:t>
      </w:r>
      <w:r w:rsidRPr="001A1823">
        <w:rPr>
          <w:rFonts w:ascii="Times New Roman" w:hAnsi="Times New Roman" w:cs="Times New Roman"/>
          <w:i/>
          <w:iCs/>
        </w:rPr>
        <w:t>Gadjah Mada International Journal of Business</w:t>
      </w:r>
      <w:r w:rsidRPr="001A1823">
        <w:rPr>
          <w:rFonts w:ascii="Times New Roman" w:hAnsi="Times New Roman" w:cs="Times New Roman"/>
        </w:rPr>
        <w:t xml:space="preserve">, </w:t>
      </w:r>
      <w:r w:rsidRPr="001A1823">
        <w:rPr>
          <w:rFonts w:ascii="Times New Roman" w:hAnsi="Times New Roman" w:cs="Times New Roman"/>
          <w:i/>
          <w:iCs/>
        </w:rPr>
        <w:t>19</w:t>
      </w:r>
      <w:r w:rsidRPr="001A1823">
        <w:rPr>
          <w:rFonts w:ascii="Times New Roman" w:hAnsi="Times New Roman" w:cs="Times New Roman"/>
        </w:rPr>
        <w:t>, 145</w:t>
      </w:r>
      <w:r w:rsidR="0030127D">
        <w:rPr>
          <w:rFonts w:ascii="Times New Roman" w:hAnsi="Times New Roman" w:cs="Times New Roman"/>
        </w:rPr>
        <w:t>-</w:t>
      </w:r>
      <w:r w:rsidRPr="001A1823">
        <w:rPr>
          <w:rFonts w:ascii="Times New Roman" w:hAnsi="Times New Roman" w:cs="Times New Roman"/>
        </w:rPr>
        <w:t>166.</w:t>
      </w:r>
    </w:p>
    <w:p w14:paraId="5007697A" w14:textId="77777777" w:rsidR="004D58AB" w:rsidRDefault="004D58AB">
      <w:pPr>
        <w:spacing w:after="160" w:line="259" w:lineRule="auto"/>
        <w:jc w:val="left"/>
        <w:rPr>
          <w:rFonts w:ascii="Times New Roman" w:hAnsi="Times New Roman" w:cs="Times New Roman"/>
        </w:rPr>
      </w:pPr>
      <w:r>
        <w:rPr>
          <w:rFonts w:ascii="Times New Roman" w:hAnsi="Times New Roman" w:cs="Times New Roman"/>
        </w:rPr>
        <w:br w:type="page"/>
      </w:r>
    </w:p>
    <w:p w14:paraId="5A46AED5" w14:textId="51193B5E"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Pintea, M. O., Pop, A. M., Dan Gavriletea, M., &amp; Sechel, I. C. (2021). Corporate governance and financial performance: Evidence from Romania. </w:t>
      </w:r>
      <w:r w:rsidRPr="001A1823">
        <w:rPr>
          <w:rFonts w:ascii="Times New Roman" w:hAnsi="Times New Roman" w:cs="Times New Roman"/>
          <w:i/>
          <w:iCs/>
        </w:rPr>
        <w:t>Journal of Economic Studies</w:t>
      </w:r>
      <w:r w:rsidRPr="001A1823">
        <w:rPr>
          <w:rFonts w:ascii="Times New Roman" w:hAnsi="Times New Roman" w:cs="Times New Roman"/>
        </w:rPr>
        <w:t xml:space="preserve">, </w:t>
      </w:r>
      <w:r w:rsidRPr="001A1823">
        <w:rPr>
          <w:rFonts w:ascii="Times New Roman" w:hAnsi="Times New Roman" w:cs="Times New Roman"/>
          <w:i/>
          <w:iCs/>
        </w:rPr>
        <w:t>48</w:t>
      </w:r>
      <w:r w:rsidRPr="001A1823">
        <w:rPr>
          <w:rFonts w:ascii="Times New Roman" w:hAnsi="Times New Roman" w:cs="Times New Roman"/>
        </w:rPr>
        <w:t>(8), 1573</w:t>
      </w:r>
      <w:r w:rsidR="0030127D">
        <w:rPr>
          <w:rFonts w:ascii="Times New Roman" w:hAnsi="Times New Roman" w:cs="Times New Roman"/>
        </w:rPr>
        <w:t>-</w:t>
      </w:r>
      <w:r w:rsidRPr="001A1823">
        <w:rPr>
          <w:rFonts w:ascii="Times New Roman" w:hAnsi="Times New Roman" w:cs="Times New Roman"/>
        </w:rPr>
        <w:t>1590. https://doi.org/10.1108/JES-07-2020-0319</w:t>
      </w:r>
      <w:r w:rsidRPr="001A1823">
        <w:rPr>
          <w:rFonts w:ascii="Times New Roman" w:hAnsi="Times New Roman" w:cs="Times New Roman"/>
          <w:szCs w:val="22"/>
          <w:lang w:val="en-US"/>
        </w:rPr>
        <w:t xml:space="preserve"> </w:t>
      </w:r>
    </w:p>
    <w:p w14:paraId="0611D0E7" w14:textId="602C40C6"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Pucheta‐Martínez, M. C., &amp; Bel‐Oms, I. (2019). What have we learnt about board gender diversity as a business strategy? The appointment of board subcommittees. </w:t>
      </w:r>
      <w:r w:rsidRPr="001A1823">
        <w:rPr>
          <w:rFonts w:ascii="Times New Roman" w:hAnsi="Times New Roman" w:cs="Times New Roman"/>
          <w:i/>
          <w:iCs/>
        </w:rPr>
        <w:t>Business Strategy and the Environment</w:t>
      </w:r>
      <w:r w:rsidRPr="001A1823">
        <w:rPr>
          <w:rFonts w:ascii="Times New Roman" w:hAnsi="Times New Roman" w:cs="Times New Roman"/>
        </w:rPr>
        <w:t xml:space="preserve">, </w:t>
      </w:r>
      <w:r w:rsidRPr="001A1823">
        <w:rPr>
          <w:rFonts w:ascii="Times New Roman" w:hAnsi="Times New Roman" w:cs="Times New Roman"/>
          <w:i/>
          <w:iCs/>
        </w:rPr>
        <w:t>28</w:t>
      </w:r>
      <w:r w:rsidRPr="001A1823">
        <w:rPr>
          <w:rFonts w:ascii="Times New Roman" w:hAnsi="Times New Roman" w:cs="Times New Roman"/>
        </w:rPr>
        <w:t>(2), 301</w:t>
      </w:r>
      <w:r w:rsidR="0030127D">
        <w:rPr>
          <w:rFonts w:ascii="Times New Roman" w:hAnsi="Times New Roman" w:cs="Times New Roman"/>
        </w:rPr>
        <w:t>-</w:t>
      </w:r>
      <w:r w:rsidRPr="001A1823">
        <w:rPr>
          <w:rFonts w:ascii="Times New Roman" w:hAnsi="Times New Roman" w:cs="Times New Roman"/>
        </w:rPr>
        <w:t>315. https://doi.org/10.1002/bse.2226</w:t>
      </w:r>
    </w:p>
    <w:p w14:paraId="1A212569" w14:textId="3BD6B482"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Pucheta‐Martínez, M. C., Gallego‐Álvarez, I., &amp; Bel‐Oms, I. (2020). Varieties of capitalism, corporate governance mechanisms, and stakeholder engagement: An overview of coordinated and liberal market economies. </w:t>
      </w:r>
      <w:r w:rsidRPr="001A1823">
        <w:rPr>
          <w:rFonts w:ascii="Times New Roman" w:hAnsi="Times New Roman" w:cs="Times New Roman"/>
          <w:i/>
          <w:iCs/>
        </w:rPr>
        <w:t>Corporate Social Responsibility and Environmental Management</w:t>
      </w:r>
      <w:r w:rsidRPr="001A1823">
        <w:rPr>
          <w:rFonts w:ascii="Times New Roman" w:hAnsi="Times New Roman" w:cs="Times New Roman"/>
        </w:rPr>
        <w:t xml:space="preserve">, </w:t>
      </w:r>
      <w:r w:rsidRPr="001A1823">
        <w:rPr>
          <w:rFonts w:ascii="Times New Roman" w:hAnsi="Times New Roman" w:cs="Times New Roman"/>
          <w:i/>
          <w:iCs/>
        </w:rPr>
        <w:t>27</w:t>
      </w:r>
      <w:r w:rsidRPr="001A1823">
        <w:rPr>
          <w:rFonts w:ascii="Times New Roman" w:hAnsi="Times New Roman" w:cs="Times New Roman"/>
        </w:rPr>
        <w:t>(2), 731</w:t>
      </w:r>
      <w:r w:rsidR="0030127D">
        <w:rPr>
          <w:rFonts w:ascii="Times New Roman" w:hAnsi="Times New Roman" w:cs="Times New Roman"/>
        </w:rPr>
        <w:t>-</w:t>
      </w:r>
      <w:r w:rsidRPr="001A1823">
        <w:rPr>
          <w:rFonts w:ascii="Times New Roman" w:hAnsi="Times New Roman" w:cs="Times New Roman"/>
        </w:rPr>
        <w:t>748. https://doi.org/10.1002/csr.1840</w:t>
      </w:r>
    </w:p>
    <w:p w14:paraId="47F8DB04" w14:textId="60458B20"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Raithatha, M., &amp; Haldar, A. (2021). Are internal governance mechanisms efficient? The case of a developing economy. </w:t>
      </w:r>
      <w:r w:rsidRPr="001A1823">
        <w:rPr>
          <w:rFonts w:ascii="Times New Roman" w:hAnsi="Times New Roman" w:cs="Times New Roman"/>
          <w:i/>
          <w:iCs/>
        </w:rPr>
        <w:t>IIMB Management Review</w:t>
      </w:r>
      <w:r w:rsidRPr="001A1823">
        <w:rPr>
          <w:rFonts w:ascii="Times New Roman" w:hAnsi="Times New Roman" w:cs="Times New Roman"/>
        </w:rPr>
        <w:t xml:space="preserve">, </w:t>
      </w:r>
      <w:r w:rsidRPr="001A1823">
        <w:rPr>
          <w:rFonts w:ascii="Times New Roman" w:hAnsi="Times New Roman" w:cs="Times New Roman"/>
          <w:i/>
          <w:iCs/>
        </w:rPr>
        <w:t>33</w:t>
      </w:r>
      <w:r w:rsidRPr="001A1823">
        <w:rPr>
          <w:rFonts w:ascii="Times New Roman" w:hAnsi="Times New Roman" w:cs="Times New Roman"/>
        </w:rPr>
        <w:t xml:space="preserve">(3), </w:t>
      </w:r>
      <w:r w:rsidR="0030127D">
        <w:rPr>
          <w:rFonts w:ascii="Times New Roman" w:hAnsi="Times New Roman" w:cs="Times New Roman"/>
        </w:rPr>
        <w:br/>
      </w:r>
      <w:r w:rsidRPr="001A1823">
        <w:rPr>
          <w:rFonts w:ascii="Times New Roman" w:hAnsi="Times New Roman" w:cs="Times New Roman"/>
        </w:rPr>
        <w:t>191</w:t>
      </w:r>
      <w:r w:rsidR="0030127D">
        <w:rPr>
          <w:rFonts w:ascii="Times New Roman" w:hAnsi="Times New Roman" w:cs="Times New Roman"/>
        </w:rPr>
        <w:t>-</w:t>
      </w:r>
      <w:r w:rsidRPr="001A1823">
        <w:rPr>
          <w:rFonts w:ascii="Times New Roman" w:hAnsi="Times New Roman" w:cs="Times New Roman"/>
        </w:rPr>
        <w:t>204. https://doi.org/10.1016/j.iimb.2021.08.004</w:t>
      </w:r>
    </w:p>
    <w:p w14:paraId="0DB59937" w14:textId="36D0A644"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Talamo, G. (2011). Corporate governance and capital flows. </w:t>
      </w:r>
      <w:r w:rsidRPr="001A1823">
        <w:rPr>
          <w:rFonts w:ascii="Times New Roman" w:hAnsi="Times New Roman" w:cs="Times New Roman"/>
          <w:i/>
          <w:iCs/>
        </w:rPr>
        <w:t>Corporate Governance: The International Journal of Business in Society</w:t>
      </w:r>
      <w:r w:rsidRPr="001A1823">
        <w:rPr>
          <w:rFonts w:ascii="Times New Roman" w:hAnsi="Times New Roman" w:cs="Times New Roman"/>
        </w:rPr>
        <w:t xml:space="preserve">, </w:t>
      </w:r>
      <w:r w:rsidRPr="001A1823">
        <w:rPr>
          <w:rFonts w:ascii="Times New Roman" w:hAnsi="Times New Roman" w:cs="Times New Roman"/>
          <w:i/>
          <w:iCs/>
        </w:rPr>
        <w:t>11</w:t>
      </w:r>
      <w:r w:rsidRPr="001A1823">
        <w:rPr>
          <w:rFonts w:ascii="Times New Roman" w:hAnsi="Times New Roman" w:cs="Times New Roman"/>
        </w:rPr>
        <w:t>(3), 228</w:t>
      </w:r>
      <w:r w:rsidR="0030127D">
        <w:rPr>
          <w:rFonts w:ascii="Times New Roman" w:hAnsi="Times New Roman" w:cs="Times New Roman"/>
        </w:rPr>
        <w:t>-</w:t>
      </w:r>
      <w:r w:rsidRPr="001A1823">
        <w:rPr>
          <w:rFonts w:ascii="Times New Roman" w:hAnsi="Times New Roman" w:cs="Times New Roman"/>
        </w:rPr>
        <w:t>243. https://doi.org/10.1108/14720701111138661</w:t>
      </w:r>
    </w:p>
    <w:p w14:paraId="0D0C6585" w14:textId="77777777"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Tribbitt, M. A., &amp; Walton, R. (2024). Gender power, the top management team, and firm credit default risk. </w:t>
      </w:r>
      <w:r w:rsidRPr="001A1823">
        <w:rPr>
          <w:rFonts w:ascii="Times New Roman" w:hAnsi="Times New Roman" w:cs="Times New Roman"/>
          <w:i/>
          <w:iCs/>
        </w:rPr>
        <w:t>Journal of Risk and Financial Management</w:t>
      </w:r>
      <w:r w:rsidRPr="001A1823">
        <w:rPr>
          <w:rFonts w:ascii="Times New Roman" w:hAnsi="Times New Roman" w:cs="Times New Roman"/>
        </w:rPr>
        <w:t xml:space="preserve">, </w:t>
      </w:r>
      <w:r w:rsidRPr="001A1823">
        <w:rPr>
          <w:rFonts w:ascii="Times New Roman" w:hAnsi="Times New Roman" w:cs="Times New Roman"/>
          <w:i/>
          <w:iCs/>
        </w:rPr>
        <w:t>17</w:t>
      </w:r>
      <w:r w:rsidRPr="001A1823">
        <w:rPr>
          <w:rFonts w:ascii="Times New Roman" w:hAnsi="Times New Roman" w:cs="Times New Roman"/>
        </w:rPr>
        <w:t>(8), 368. https://doi.org/10.3390/jrfm17080368</w:t>
      </w:r>
    </w:p>
    <w:p w14:paraId="0F5D3A3B" w14:textId="4DE66C73" w:rsid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Tušek, B. (2015). The influence of the audit committee on the internal audit operations in the system of corporate governance – evidence from Croatia. </w:t>
      </w:r>
      <w:r w:rsidRPr="001A1823">
        <w:rPr>
          <w:rFonts w:ascii="Times New Roman" w:hAnsi="Times New Roman" w:cs="Times New Roman"/>
          <w:i/>
          <w:iCs/>
        </w:rPr>
        <w:t>Economic Research-Ekonomska Istraživanja</w:t>
      </w:r>
      <w:r w:rsidRPr="001A1823">
        <w:rPr>
          <w:rFonts w:ascii="Times New Roman" w:hAnsi="Times New Roman" w:cs="Times New Roman"/>
        </w:rPr>
        <w:t xml:space="preserve">, </w:t>
      </w:r>
      <w:r w:rsidRPr="001A1823">
        <w:rPr>
          <w:rFonts w:ascii="Times New Roman" w:hAnsi="Times New Roman" w:cs="Times New Roman"/>
          <w:i/>
          <w:iCs/>
        </w:rPr>
        <w:t>28</w:t>
      </w:r>
      <w:r w:rsidRPr="001A1823">
        <w:rPr>
          <w:rFonts w:ascii="Times New Roman" w:hAnsi="Times New Roman" w:cs="Times New Roman"/>
        </w:rPr>
        <w:t>(1), 187</w:t>
      </w:r>
      <w:r w:rsidR="0030127D">
        <w:rPr>
          <w:rFonts w:ascii="Times New Roman" w:hAnsi="Times New Roman" w:cs="Times New Roman"/>
        </w:rPr>
        <w:t>-</w:t>
      </w:r>
      <w:r w:rsidRPr="001A1823">
        <w:rPr>
          <w:rFonts w:ascii="Times New Roman" w:hAnsi="Times New Roman" w:cs="Times New Roman"/>
        </w:rPr>
        <w:t>203. https://doi.org/10.1080/1331677X.2015.1028245</w:t>
      </w:r>
    </w:p>
    <w:p w14:paraId="0ADBC645" w14:textId="342F2013" w:rsidR="003479F7" w:rsidRPr="001A1823" w:rsidRDefault="003479F7" w:rsidP="001A1823">
      <w:pPr>
        <w:widowControl w:val="0"/>
        <w:autoSpaceDE w:val="0"/>
        <w:autoSpaceDN w:val="0"/>
        <w:adjustRightInd w:val="0"/>
        <w:ind w:left="720" w:hanging="720"/>
        <w:rPr>
          <w:rFonts w:ascii="Times New Roman" w:hAnsi="Times New Roman" w:cs="Times New Roman"/>
        </w:rPr>
      </w:pPr>
      <w:r w:rsidRPr="003479F7">
        <w:rPr>
          <w:rFonts w:ascii="Times New Roman" w:hAnsi="Times New Roman" w:cs="Times New Roman"/>
        </w:rPr>
        <w:t>Ullah, S., Ahmad, S., Akbar, S., Kodwani, D., &amp; Frecknall-Hughes, J. (2021). Governance disclosure quality and market valuation of firms in UK and Germany.</w:t>
      </w:r>
      <w:r>
        <w:rPr>
          <w:rFonts w:ascii="Times New Roman" w:hAnsi="Times New Roman" w:cs="Times New Roman"/>
        </w:rPr>
        <w:t xml:space="preserve"> </w:t>
      </w:r>
      <w:r w:rsidRPr="003479F7">
        <w:rPr>
          <w:rFonts w:ascii="Times New Roman" w:hAnsi="Times New Roman" w:cs="Times New Roman"/>
          <w:i/>
          <w:iCs/>
        </w:rPr>
        <w:t>International Journal of Finance &amp; Economics</w:t>
      </w:r>
      <w:r w:rsidRPr="003479F7">
        <w:rPr>
          <w:rFonts w:ascii="Times New Roman" w:hAnsi="Times New Roman" w:cs="Times New Roman"/>
        </w:rPr>
        <w:t>,</w:t>
      </w:r>
      <w:r>
        <w:rPr>
          <w:rFonts w:ascii="Times New Roman" w:hAnsi="Times New Roman" w:cs="Times New Roman"/>
        </w:rPr>
        <w:t xml:space="preserve"> </w:t>
      </w:r>
      <w:r w:rsidRPr="003479F7">
        <w:rPr>
          <w:rFonts w:ascii="Times New Roman" w:hAnsi="Times New Roman" w:cs="Times New Roman"/>
          <w:i/>
          <w:iCs/>
        </w:rPr>
        <w:t>26</w:t>
      </w:r>
      <w:r w:rsidRPr="003479F7">
        <w:rPr>
          <w:rFonts w:ascii="Times New Roman" w:hAnsi="Times New Roman" w:cs="Times New Roman"/>
        </w:rPr>
        <w:t xml:space="preserve">(4), </w:t>
      </w:r>
      <w:r w:rsidR="0030127D">
        <w:rPr>
          <w:rFonts w:ascii="Times New Roman" w:hAnsi="Times New Roman" w:cs="Times New Roman"/>
        </w:rPr>
        <w:br/>
      </w:r>
      <w:r w:rsidRPr="003479F7">
        <w:rPr>
          <w:rFonts w:ascii="Times New Roman" w:hAnsi="Times New Roman" w:cs="Times New Roman"/>
        </w:rPr>
        <w:t>5031</w:t>
      </w:r>
      <w:r w:rsidR="0030127D">
        <w:rPr>
          <w:rFonts w:ascii="Times New Roman" w:hAnsi="Times New Roman" w:cs="Times New Roman"/>
        </w:rPr>
        <w:t>-</w:t>
      </w:r>
      <w:r w:rsidRPr="003479F7">
        <w:rPr>
          <w:rFonts w:ascii="Times New Roman" w:hAnsi="Times New Roman" w:cs="Times New Roman"/>
        </w:rPr>
        <w:t>5055.</w:t>
      </w:r>
      <w:r w:rsidR="0072014B">
        <w:rPr>
          <w:rFonts w:ascii="Times New Roman" w:hAnsi="Times New Roman" w:cs="Times New Roman"/>
        </w:rPr>
        <w:t xml:space="preserve"> </w:t>
      </w:r>
      <w:r w:rsidRPr="0030127D">
        <w:rPr>
          <w:rFonts w:ascii="Times New Roman" w:hAnsi="Times New Roman" w:cs="Times New Roman"/>
        </w:rPr>
        <w:t>https://doi.org/10.1002/ijfe.2053</w:t>
      </w:r>
    </w:p>
    <w:p w14:paraId="4EB1663F" w14:textId="7277F344" w:rsidR="001A1823" w:rsidRPr="001A1823" w:rsidRDefault="001A1823" w:rsidP="001A1823">
      <w:pPr>
        <w:widowControl w:val="0"/>
        <w:autoSpaceDE w:val="0"/>
        <w:autoSpaceDN w:val="0"/>
        <w:adjustRightInd w:val="0"/>
        <w:ind w:left="720" w:hanging="720"/>
        <w:rPr>
          <w:rFonts w:ascii="Times New Roman" w:hAnsi="Times New Roman" w:cs="Times New Roman"/>
        </w:rPr>
      </w:pPr>
      <w:r w:rsidRPr="001A1823">
        <w:rPr>
          <w:rFonts w:ascii="Times New Roman" w:hAnsi="Times New Roman" w:cs="Times New Roman"/>
        </w:rPr>
        <w:t xml:space="preserve">Vafaei, A., Ahmed, K., &amp; Mather, P. (2015). Board diversity and financial performance in the top 500 australian firms. </w:t>
      </w:r>
      <w:r w:rsidRPr="001A1823">
        <w:rPr>
          <w:rFonts w:ascii="Times New Roman" w:hAnsi="Times New Roman" w:cs="Times New Roman"/>
          <w:i/>
          <w:iCs/>
        </w:rPr>
        <w:t>Australian Accounting Review</w:t>
      </w:r>
      <w:r w:rsidRPr="001A1823">
        <w:rPr>
          <w:rFonts w:ascii="Times New Roman" w:hAnsi="Times New Roman" w:cs="Times New Roman"/>
        </w:rPr>
        <w:t xml:space="preserve">, </w:t>
      </w:r>
      <w:r w:rsidRPr="001A1823">
        <w:rPr>
          <w:rFonts w:ascii="Times New Roman" w:hAnsi="Times New Roman" w:cs="Times New Roman"/>
          <w:i/>
          <w:iCs/>
        </w:rPr>
        <w:t>25</w:t>
      </w:r>
      <w:r w:rsidRPr="001A1823">
        <w:rPr>
          <w:rFonts w:ascii="Times New Roman" w:hAnsi="Times New Roman" w:cs="Times New Roman"/>
        </w:rPr>
        <w:t>(4), 413</w:t>
      </w:r>
      <w:r w:rsidR="001D7FD3">
        <w:rPr>
          <w:rFonts w:ascii="Times New Roman" w:hAnsi="Times New Roman" w:cs="Times New Roman"/>
        </w:rPr>
        <w:t>-</w:t>
      </w:r>
      <w:r w:rsidRPr="001A1823">
        <w:rPr>
          <w:rFonts w:ascii="Times New Roman" w:hAnsi="Times New Roman" w:cs="Times New Roman"/>
        </w:rPr>
        <w:t>427. https://doi.org/10.1111/auar.12068</w:t>
      </w:r>
    </w:p>
    <w:p w14:paraId="1E615766" w14:textId="66A7232E" w:rsidR="001A1823" w:rsidRPr="001A1823" w:rsidRDefault="001A1823" w:rsidP="001A1823">
      <w:pPr>
        <w:widowControl w:val="0"/>
        <w:autoSpaceDE w:val="0"/>
        <w:autoSpaceDN w:val="0"/>
        <w:adjustRightInd w:val="0"/>
        <w:ind w:left="720" w:hanging="720"/>
      </w:pPr>
      <w:r w:rsidRPr="001A1823">
        <w:rPr>
          <w:rFonts w:ascii="Times New Roman" w:hAnsi="Times New Roman" w:cs="Times New Roman"/>
        </w:rPr>
        <w:t xml:space="preserve">Zhu, Y., &amp; Chen, J. (2025). How does board gender diversity shape ESG performance? </w:t>
      </w:r>
      <w:r w:rsidRPr="001A1823">
        <w:rPr>
          <w:rFonts w:ascii="Times New Roman" w:hAnsi="Times New Roman" w:cs="Times New Roman"/>
          <w:i/>
          <w:iCs/>
        </w:rPr>
        <w:t>Finance Research Letters</w:t>
      </w:r>
      <w:r w:rsidRPr="001A1823">
        <w:rPr>
          <w:rFonts w:ascii="Times New Roman" w:hAnsi="Times New Roman" w:cs="Times New Roman"/>
        </w:rPr>
        <w:t xml:space="preserve">, </w:t>
      </w:r>
      <w:r w:rsidRPr="001A1823">
        <w:rPr>
          <w:rFonts w:ascii="Times New Roman" w:hAnsi="Times New Roman" w:cs="Times New Roman"/>
          <w:i/>
          <w:iCs/>
        </w:rPr>
        <w:t>74</w:t>
      </w:r>
      <w:r w:rsidRPr="001A1823">
        <w:rPr>
          <w:rFonts w:ascii="Times New Roman" w:hAnsi="Times New Roman" w:cs="Times New Roman"/>
        </w:rPr>
        <w:t>, 106717. https://doi.org/10.1016/j.frl.2024.106717</w:t>
      </w:r>
    </w:p>
    <w:p w14:paraId="4EA8BDCF" w14:textId="682BB951" w:rsidR="00D84CD2" w:rsidRPr="00B07B0D" w:rsidRDefault="00E77DFA" w:rsidP="00AA72A3">
      <w:pPr>
        <w:spacing w:after="160" w:line="259" w:lineRule="auto"/>
        <w:jc w:val="left"/>
        <w:rPr>
          <w:rFonts w:ascii="Times New Roman" w:hAnsi="Times New Roman" w:cs="Times New Roman"/>
          <w:szCs w:val="22"/>
          <w:lang w:val="en-US"/>
        </w:rPr>
      </w:pPr>
      <w:r w:rsidRPr="001A1823">
        <w:rPr>
          <w:szCs w:val="22"/>
          <w:lang w:val="en-US"/>
        </w:rPr>
        <w:fldChar w:fldCharType="end"/>
      </w:r>
    </w:p>
    <w:sectPr w:rsidR="00D84CD2" w:rsidRPr="00B07B0D" w:rsidSect="005D211F">
      <w:headerReference w:type="even" r:id="rId11"/>
      <w:headerReference w:type="default" r:id="rId12"/>
      <w:footerReference w:type="even" r:id="rId13"/>
      <w:footerReference w:type="default" r:id="rId14"/>
      <w:endnotePr>
        <w:numFmt w:val="decimal"/>
      </w:endnotePr>
      <w:pgSz w:w="11906" w:h="16838" w:code="9"/>
      <w:pgMar w:top="1247" w:right="2268" w:bottom="4253" w:left="2268" w:header="720" w:footer="3668" w:gutter="0"/>
      <w:pgNumType w:start="20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2BAE6" w14:textId="77777777" w:rsidR="00F72B6D" w:rsidRDefault="00F72B6D" w:rsidP="005F288B">
      <w:r>
        <w:separator/>
      </w:r>
    </w:p>
  </w:endnote>
  <w:endnote w:type="continuationSeparator" w:id="0">
    <w:p w14:paraId="522C9B03" w14:textId="77777777" w:rsidR="00F72B6D" w:rsidRDefault="00F72B6D" w:rsidP="005F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0D0D" w14:textId="77777777" w:rsidR="00291F43" w:rsidRPr="007F252C" w:rsidRDefault="00291F43" w:rsidP="001E58C4">
    <w:pPr>
      <w:pStyle w:val="Footer"/>
      <w:rPr>
        <w:lang w:val="en-US"/>
      </w:rPr>
    </w:pPr>
    <w:r>
      <w:fldChar w:fldCharType="begin"/>
    </w:r>
    <w:r>
      <w:instrText xml:space="preserve"> PAGE   \* MERGEFORMAT </w:instrText>
    </w:r>
    <w:r>
      <w:fldChar w:fldCharType="separate"/>
    </w:r>
    <w:r>
      <w:t>168</w:t>
    </w:r>
    <w:r>
      <w:rPr>
        <w:noProof/>
      </w:rPr>
      <w:fldChar w:fldCharType="end"/>
    </w:r>
    <w:r w:rsidRPr="007F252C">
      <w:rPr>
        <w:noProof/>
      </w:rPr>
      <w:t xml:space="preserve"> </w:t>
    </w:r>
    <w:r w:rsidRPr="007F252C">
      <w:rPr>
        <w:noProof/>
      </w:rPr>
      <w:tab/>
    </w:r>
    <w:r w:rsidRPr="007F252C">
      <w:rPr>
        <w:noProof/>
      </w:rPr>
      <w:tab/>
    </w:r>
    <w:r w:rsidRPr="007F252C">
      <w:t xml:space="preserve">Vol. </w:t>
    </w:r>
    <w:r>
      <w:t>25</w:t>
    </w:r>
    <w:r w:rsidRPr="007F252C">
      <w:t xml:space="preserve">, No. </w:t>
    </w:r>
    <w:r>
      <w:rPr>
        <w:lang w:val="en-U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8D7F" w14:textId="21AF24EC" w:rsidR="00291F43" w:rsidRPr="003A5409" w:rsidRDefault="00291F43" w:rsidP="003A5409">
    <w:pPr>
      <w:pStyle w:val="Footer"/>
      <w:ind w:right="-11"/>
      <w:rPr>
        <w:b w:val="0"/>
      </w:rPr>
    </w:pPr>
    <w:r w:rsidRPr="006A4ECE">
      <w:t xml:space="preserve">Vol. </w:t>
    </w:r>
    <w:r>
      <w:t>25</w:t>
    </w:r>
    <w:r w:rsidRPr="006A4ECE">
      <w:t xml:space="preserve">, No. </w:t>
    </w:r>
    <w:r>
      <w:rPr>
        <w:bCs/>
        <w:lang w:val="en-US"/>
      </w:rPr>
      <w:t>2</w:t>
    </w:r>
    <w:r w:rsidRPr="006A4ECE">
      <w:tab/>
    </w:r>
    <w:r w:rsidRPr="006A4ECE">
      <w:tab/>
    </w:r>
    <w:r w:rsidRPr="004E3A79">
      <w:rPr>
        <w:bCs/>
      </w:rPr>
      <w:fldChar w:fldCharType="begin"/>
    </w:r>
    <w:r w:rsidRPr="004E3A79">
      <w:rPr>
        <w:bCs/>
      </w:rPr>
      <w:instrText xml:space="preserve"> PAGE   \* MERGEFORMAT </w:instrText>
    </w:r>
    <w:r w:rsidRPr="004E3A79">
      <w:rPr>
        <w:bCs/>
      </w:rPr>
      <w:fldChar w:fldCharType="separate"/>
    </w:r>
    <w:r>
      <w:rPr>
        <w:bCs/>
      </w:rPr>
      <w:t>445</w:t>
    </w:r>
    <w:r w:rsidRPr="004E3A79">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2207" w14:textId="77777777" w:rsidR="00F72B6D" w:rsidRDefault="00F72B6D" w:rsidP="005F288B">
      <w:r>
        <w:separator/>
      </w:r>
    </w:p>
  </w:footnote>
  <w:footnote w:type="continuationSeparator" w:id="0">
    <w:p w14:paraId="7DAC219A" w14:textId="77777777" w:rsidR="00F72B6D" w:rsidRDefault="00F72B6D" w:rsidP="005F288B">
      <w:r>
        <w:continuationSeparator/>
      </w:r>
    </w:p>
  </w:footnote>
  <w:footnote w:id="1">
    <w:p w14:paraId="7181AD33" w14:textId="7F5DE55A" w:rsidR="00291F43" w:rsidRDefault="00291F43" w:rsidP="00844B0F">
      <w:pPr>
        <w:pStyle w:val="FootnoteText"/>
        <w:ind w:left="140" w:hanging="140"/>
      </w:pPr>
      <w:r>
        <w:rPr>
          <w:rStyle w:val="FootnoteReference"/>
        </w:rPr>
        <w:footnoteRef/>
      </w:r>
      <w:r>
        <w:t xml:space="preserve"> </w:t>
      </w:r>
      <w:r>
        <w:rPr>
          <w:i/>
        </w:rPr>
        <w:t xml:space="preserve">Corresponding author: </w:t>
      </w:r>
      <w:r w:rsidRPr="00844B0F">
        <w:t>Doctoral School of Accounting, Bucharest University of Economic Studies</w:t>
      </w:r>
      <w:r>
        <w:t>, Bucharest, Romania, e</w:t>
      </w:r>
      <w:r w:rsidRPr="006E1013">
        <w:t>mail addresses</w:t>
      </w:r>
      <w:r w:rsidRPr="00364969">
        <w:t xml:space="preserve">: </w:t>
      </w:r>
      <w:r w:rsidRPr="00844B0F">
        <w:t>predamadalina17@stud.ase.ro</w:t>
      </w:r>
    </w:p>
    <w:p w14:paraId="16DE6010" w14:textId="38278F23" w:rsidR="00291F43" w:rsidRPr="001652F5" w:rsidRDefault="00291F43" w:rsidP="00844B0F">
      <w:pPr>
        <w:pStyle w:val="FootnoteText"/>
        <w:ind w:left="126"/>
        <w:rPr>
          <w:lang w:val="en-US"/>
        </w:rPr>
      </w:pPr>
      <w:r w:rsidRPr="001652F5">
        <w:rPr>
          <w:lang w:val="en-US"/>
        </w:rPr>
        <w:t>Funding: This paper was co-financed by The Bucharest University of Economic Studies during the PhD Program.</w:t>
      </w:r>
    </w:p>
    <w:p w14:paraId="392979A6" w14:textId="77777777" w:rsidR="00291F43" w:rsidRPr="001652F5" w:rsidRDefault="00291F43" w:rsidP="00844B0F">
      <w:pPr>
        <w:pStyle w:val="FootnoteText"/>
        <w:ind w:left="126"/>
        <w:rPr>
          <w:lang w:val="en-US"/>
        </w:rPr>
      </w:pPr>
      <w:r w:rsidRPr="001652F5">
        <w:rPr>
          <w:lang w:val="en-US"/>
        </w:rPr>
        <w:t>© 2026 The Author(s). This is an Open Access article distributed under the terms of the</w:t>
      </w:r>
    </w:p>
    <w:p w14:paraId="072CA9C1" w14:textId="77777777" w:rsidR="00291F43" w:rsidRPr="001652F5" w:rsidRDefault="00291F43" w:rsidP="00844B0F">
      <w:pPr>
        <w:pStyle w:val="FootnoteText"/>
        <w:ind w:left="126"/>
        <w:rPr>
          <w:lang w:val="en-US"/>
        </w:rPr>
      </w:pPr>
      <w:r w:rsidRPr="001652F5">
        <w:rPr>
          <w:lang w:val="en-US"/>
        </w:rPr>
        <w:t>Creative Commons Attribution License (http://creativecommons.org/licenses/by/4.0/)</w:t>
      </w:r>
    </w:p>
    <w:p w14:paraId="5778F96C" w14:textId="4E1FB2AA" w:rsidR="00291F43" w:rsidRPr="001652F5" w:rsidRDefault="00291F43" w:rsidP="00844B0F">
      <w:pPr>
        <w:pStyle w:val="FootnoteText"/>
        <w:ind w:left="126"/>
        <w:rPr>
          <w:lang w:val="en-US"/>
        </w:rPr>
      </w:pPr>
      <w:r w:rsidRPr="007F1E44">
        <w:rPr>
          <w:b/>
          <w:bCs/>
          <w:lang w:val="en-US"/>
        </w:rPr>
        <w:t>Article history</w:t>
      </w:r>
      <w:r w:rsidRPr="001652F5">
        <w:rPr>
          <w:lang w:val="en-US"/>
        </w:rPr>
        <w:t>: Received 23 February 2026; Accepted 27 April 2026.</w:t>
      </w:r>
    </w:p>
    <w:p w14:paraId="19A85DA3" w14:textId="26EE9846" w:rsidR="00291F43" w:rsidRPr="006E1013" w:rsidRDefault="00291F43" w:rsidP="00844B0F">
      <w:pPr>
        <w:pStyle w:val="FootnoteText"/>
        <w:ind w:left="126"/>
        <w:rPr>
          <w:lang w:val="en-US"/>
        </w:rPr>
      </w:pPr>
      <w:r w:rsidRPr="007F1E44">
        <w:rPr>
          <w:b/>
          <w:bCs/>
          <w:lang w:val="en-US"/>
        </w:rPr>
        <w:t>Accepted by</w:t>
      </w:r>
      <w:r w:rsidRPr="001652F5">
        <w:rPr>
          <w:lang w:val="en-US"/>
        </w:rPr>
        <w:t>:</w:t>
      </w:r>
      <w:r w:rsidRPr="00844B0F">
        <w:rPr>
          <w:lang w:val="en-US"/>
        </w:rPr>
        <w:t xml:space="preserve"> </w:t>
      </w:r>
      <w:r>
        <w:rPr>
          <w:lang w:val="en-US"/>
        </w:rPr>
        <w:t>Mădălina Dumitru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4D19" w14:textId="77777777" w:rsidR="00291F43" w:rsidRDefault="00291F43" w:rsidP="004E3A79">
    <w:pPr>
      <w:pBdr>
        <w:bottom w:val="single" w:sz="4" w:space="1" w:color="auto"/>
      </w:pBdr>
      <w:jc w:val="center"/>
      <w:rPr>
        <w:rFonts w:ascii="Times New Roman" w:hAnsi="Times New Roman" w:cs="Times New Roman"/>
        <w:b/>
        <w:sz w:val="20"/>
        <w:szCs w:val="20"/>
        <w:lang w:val="ro-RO"/>
      </w:rPr>
    </w:pPr>
  </w:p>
  <w:p w14:paraId="43D9CA8C" w14:textId="3E0684B1" w:rsidR="00291F43" w:rsidRPr="004E3A79" w:rsidRDefault="00291F43" w:rsidP="004E3A79">
    <w:pPr>
      <w:pBdr>
        <w:bottom w:val="single" w:sz="4" w:space="1" w:color="auto"/>
      </w:pBdr>
      <w:jc w:val="center"/>
      <w:rPr>
        <w:b/>
        <w:bCs/>
        <w:sz w:val="20"/>
        <w:szCs w:val="22"/>
      </w:rPr>
    </w:pPr>
    <w:proofErr w:type="spellStart"/>
    <w:r w:rsidRPr="00E51A2B">
      <w:rPr>
        <w:rFonts w:ascii="Times New Roman" w:hAnsi="Times New Roman" w:cs="Times New Roman"/>
        <w:b/>
        <w:sz w:val="20"/>
        <w:szCs w:val="20"/>
        <w:lang w:val="ro-RO"/>
      </w:rPr>
      <w:t>Accounting</w:t>
    </w:r>
    <w:proofErr w:type="spellEnd"/>
    <w:r w:rsidRPr="00E51A2B">
      <w:rPr>
        <w:rFonts w:ascii="Times New Roman" w:hAnsi="Times New Roman" w:cs="Times New Roman"/>
        <w:b/>
        <w:sz w:val="20"/>
        <w:szCs w:val="20"/>
        <w:lang w:val="ro-RO"/>
      </w:rPr>
      <w:t xml:space="preserve"> </w:t>
    </w:r>
    <w:proofErr w:type="spellStart"/>
    <w:r w:rsidRPr="00E51A2B">
      <w:rPr>
        <w:rFonts w:ascii="Times New Roman" w:hAnsi="Times New Roman" w:cs="Times New Roman"/>
        <w:b/>
        <w:sz w:val="20"/>
        <w:szCs w:val="20"/>
        <w:lang w:val="ro-RO"/>
      </w:rPr>
      <w:t>and</w:t>
    </w:r>
    <w:proofErr w:type="spellEnd"/>
    <w:r w:rsidRPr="00E51A2B">
      <w:rPr>
        <w:rFonts w:ascii="Times New Roman" w:hAnsi="Times New Roman" w:cs="Times New Roman"/>
        <w:b/>
        <w:sz w:val="20"/>
        <w:szCs w:val="20"/>
        <w:lang w:val="ro-RO"/>
      </w:rPr>
      <w:t xml:space="preserve"> Management Information </w:t>
    </w:r>
    <w:proofErr w:type="spellStart"/>
    <w:r w:rsidRPr="00E51A2B">
      <w:rPr>
        <w:rFonts w:ascii="Times New Roman" w:hAnsi="Times New Roman" w:cs="Times New Roman"/>
        <w:b/>
        <w:sz w:val="20"/>
        <w:szCs w:val="20"/>
        <w:lang w:val="ro-RO"/>
      </w:rPr>
      <w:t>Systems</w:t>
    </w:r>
    <w:proofErr w:type="spellEnd"/>
  </w:p>
  <w:p w14:paraId="51A319E8" w14:textId="77777777" w:rsidR="00291F43" w:rsidRDefault="00291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86E8" w14:textId="7DA3A2A2" w:rsidR="00291F43" w:rsidRDefault="00291F43" w:rsidP="001E58C4">
    <w:pPr>
      <w:pBdr>
        <w:bottom w:val="single" w:sz="4" w:space="1" w:color="auto"/>
      </w:pBdr>
      <w:jc w:val="center"/>
      <w:rPr>
        <w:b/>
        <w:bCs/>
        <w:sz w:val="20"/>
        <w:szCs w:val="22"/>
      </w:rPr>
    </w:pPr>
    <w:r w:rsidRPr="00B02E83">
      <w:rPr>
        <w:b/>
        <w:bCs/>
        <w:sz w:val="20"/>
        <w:szCs w:val="22"/>
      </w:rPr>
      <w:t xml:space="preserve">The relationship between corporate </w:t>
    </w:r>
    <w:r>
      <w:rPr>
        <w:b/>
        <w:bCs/>
        <w:sz w:val="20"/>
        <w:szCs w:val="22"/>
      </w:rPr>
      <w:br/>
    </w:r>
    <w:r w:rsidRPr="00B02E83">
      <w:rPr>
        <w:b/>
        <w:bCs/>
        <w:sz w:val="20"/>
        <w:szCs w:val="22"/>
      </w:rPr>
      <w:t>governance mechanisms and financial performance</w:t>
    </w:r>
  </w:p>
  <w:p w14:paraId="0AE25FC8" w14:textId="77777777" w:rsidR="00291F43" w:rsidRPr="006A6ECB" w:rsidRDefault="00291F43" w:rsidP="004E3A79">
    <w:pPr>
      <w:pStyle w:val="Header"/>
      <w:jc w:val="center"/>
      <w:rPr>
        <w:rFonts w:ascii="Times New Roman" w:hAnsi="Times New Roman" w:cs="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6A30"/>
    <w:multiLevelType w:val="multilevel"/>
    <w:tmpl w:val="05C0DBFC"/>
    <w:lvl w:ilvl="0">
      <w:start w:val="4"/>
      <w:numFmt w:val="decimal"/>
      <w:lvlText w:val="%1"/>
      <w:lvlJc w:val="left"/>
      <w:pPr>
        <w:ind w:left="360" w:hanging="360"/>
      </w:pPr>
      <w:rPr>
        <w:rFonts w:hint="default"/>
      </w:rPr>
    </w:lvl>
    <w:lvl w:ilvl="1">
      <w:start w:val="1"/>
      <w:numFmt w:val="decimal"/>
      <w:pStyle w:val="Heading3"/>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E96E69"/>
    <w:multiLevelType w:val="hybridMultilevel"/>
    <w:tmpl w:val="4E28BBF2"/>
    <w:lvl w:ilvl="0" w:tplc="3D182AA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03339B"/>
    <w:multiLevelType w:val="hybridMultilevel"/>
    <w:tmpl w:val="A4D05FD6"/>
    <w:lvl w:ilvl="0" w:tplc="07D6D702">
      <w:start w:val="4"/>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AE6787"/>
    <w:multiLevelType w:val="multilevel"/>
    <w:tmpl w:val="6E867C60"/>
    <w:lvl w:ilvl="0">
      <w:start w:val="1"/>
      <w:numFmt w:val="none"/>
      <w:suff w:val="space"/>
      <w:lvlText w:val=""/>
      <w:lvlJc w:val="left"/>
      <w:pPr>
        <w:ind w:left="284" w:hanging="284"/>
      </w:pPr>
      <w:rPr>
        <w:rFonts w:hint="default"/>
      </w:rPr>
    </w:lvl>
    <w:lvl w:ilvl="1">
      <w:start w:val="1"/>
      <w:numFmt w:val="decimal"/>
      <w:suff w:val="space"/>
      <w:lvlText w:val="%2"/>
      <w:lvlJc w:val="left"/>
      <w:pPr>
        <w:ind w:left="284" w:hanging="284"/>
      </w:pPr>
      <w:rPr>
        <w:rFonts w:hint="default"/>
        <w:b/>
        <w:bCs w:val="0"/>
        <w:i w:val="0"/>
        <w:iCs w:val="0"/>
        <w:caps w:val="0"/>
        <w:strike w:val="0"/>
        <w:dstrike w:val="0"/>
        <w:vanish w:val="0"/>
        <w:color w:val="auto"/>
        <w:spacing w:val="0"/>
        <w:kern w:val="0"/>
        <w:position w:val="0"/>
        <w:sz w:val="32"/>
        <w:szCs w:val="32"/>
        <w:u w:val="none"/>
        <w:effect w:val="none"/>
        <w:vertAlign w:val="baseline"/>
        <w:em w:val="none"/>
      </w:rPr>
    </w:lvl>
    <w:lvl w:ilvl="2">
      <w:start w:val="1"/>
      <w:numFmt w:val="decimal"/>
      <w:suff w:val="space"/>
      <w:lvlText w:val="%1%2.%3"/>
      <w:lvlJc w:val="left"/>
      <w:pPr>
        <w:ind w:left="284" w:hanging="284"/>
      </w:pPr>
      <w:rPr>
        <w:rFonts w:hint="default"/>
      </w:rPr>
    </w:lvl>
    <w:lvl w:ilvl="3">
      <w:start w:val="1"/>
      <w:numFmt w:val="decimal"/>
      <w:suff w:val="space"/>
      <w:lvlText w:val="%1%2.%3.%4"/>
      <w:lvlJc w:val="left"/>
      <w:pPr>
        <w:ind w:left="284" w:hanging="284"/>
      </w:pPr>
      <w:rPr>
        <w:rFonts w:hint="default"/>
      </w:rPr>
    </w:lvl>
    <w:lvl w:ilvl="4">
      <w:start w:val="1"/>
      <w:numFmt w:val="decimal"/>
      <w:pStyle w:val="Heading5"/>
      <w:suff w:val="space"/>
      <w:lvlText w:val="%1%2.%3.%4.%5"/>
      <w:lvlJc w:val="left"/>
      <w:pPr>
        <w:ind w:left="284" w:hanging="284"/>
      </w:pPr>
      <w:rPr>
        <w:rFonts w:hint="default"/>
      </w:rPr>
    </w:lvl>
    <w:lvl w:ilvl="5">
      <w:start w:val="1"/>
      <w:numFmt w:val="decimal"/>
      <w:pStyle w:val="Heading6"/>
      <w:suff w:val="space"/>
      <w:lvlText w:val="%1%2.%3.%4.%5.%6"/>
      <w:lvlJc w:val="left"/>
      <w:pPr>
        <w:ind w:left="284" w:hanging="284"/>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 w15:restartNumberingAfterBreak="0">
    <w:nsid w:val="6D301AF2"/>
    <w:multiLevelType w:val="multilevel"/>
    <w:tmpl w:val="E37836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1731B0D"/>
    <w:multiLevelType w:val="hybridMultilevel"/>
    <w:tmpl w:val="3CD891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C00C2B"/>
    <w:multiLevelType w:val="multilevel"/>
    <w:tmpl w:val="03AC40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6597945">
    <w:abstractNumId w:val="3"/>
  </w:num>
  <w:num w:numId="2" w16cid:durableId="687176212">
    <w:abstractNumId w:val="4"/>
  </w:num>
  <w:num w:numId="3" w16cid:durableId="1139148362">
    <w:abstractNumId w:val="2"/>
  </w:num>
  <w:num w:numId="4" w16cid:durableId="543641678">
    <w:abstractNumId w:val="0"/>
  </w:num>
  <w:num w:numId="5" w16cid:durableId="630675075">
    <w:abstractNumId w:val="1"/>
  </w:num>
  <w:num w:numId="6" w16cid:durableId="1849640812">
    <w:abstractNumId w:val="6"/>
  </w:num>
  <w:num w:numId="7" w16cid:durableId="212476149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bc0NzKyMDE1sjC1NDFX0lEKTi0uzszPAykwMqgFAJp/w0ktAAAA"/>
    <w:docVar w:name="EN.InstantFormat" w:val="&lt;ENInstantFormat&gt;&lt;Enabled&gt;1&lt;/Enabled&gt;&lt;ScanUnformatted&gt;1&lt;/ScanUnformatted&gt;&lt;ScanChanges&gt;1&lt;/ScanChanges&gt;&lt;Suspended&gt;0&lt;/Suspended&gt;&lt;/ENInstantFormat&gt;"/>
    <w:docVar w:name="EN.Layout" w:val="&lt;ENLayout&gt;&lt;Style&gt;JAMIS &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axw9z08zap0ve0sr859f2sf225xasf22px&quot;&gt;Badr1&lt;record-ids&gt;&lt;item&gt;2&lt;/item&gt;&lt;item&gt;3&lt;/item&gt;&lt;item&gt;8&lt;/item&gt;&lt;item&gt;14&lt;/item&gt;&lt;item&gt;19&lt;/item&gt;&lt;item&gt;27&lt;/item&gt;&lt;item&gt;30&lt;/item&gt;&lt;item&gt;31&lt;/item&gt;&lt;item&gt;33&lt;/item&gt;&lt;item&gt;34&lt;/item&gt;&lt;item&gt;41&lt;/item&gt;&lt;item&gt;45&lt;/item&gt;&lt;item&gt;53&lt;/item&gt;&lt;item&gt;57&lt;/item&gt;&lt;item&gt;58&lt;/item&gt;&lt;item&gt;71&lt;/item&gt;&lt;item&gt;73&lt;/item&gt;&lt;item&gt;76&lt;/item&gt;&lt;item&gt;86&lt;/item&gt;&lt;item&gt;94&lt;/item&gt;&lt;item&gt;97&lt;/item&gt;&lt;item&gt;100&lt;/item&gt;&lt;item&gt;111&lt;/item&gt;&lt;item&gt;115&lt;/item&gt;&lt;item&gt;125&lt;/item&gt;&lt;item&gt;128&lt;/item&gt;&lt;item&gt;136&lt;/item&gt;&lt;item&gt;141&lt;/item&gt;&lt;item&gt;143&lt;/item&gt;&lt;item&gt;144&lt;/item&gt;&lt;item&gt;152&lt;/item&gt;&lt;item&gt;154&lt;/item&gt;&lt;item&gt;182&lt;/item&gt;&lt;item&gt;183&lt;/item&gt;&lt;item&gt;184&lt;/item&gt;&lt;item&gt;186&lt;/item&gt;&lt;item&gt;216&lt;/item&gt;&lt;item&gt;220&lt;/item&gt;&lt;item&gt;225&lt;/item&gt;&lt;item&gt;238&lt;/item&gt;&lt;item&gt;320&lt;/item&gt;&lt;item&gt;338&lt;/item&gt;&lt;item&gt;346&lt;/item&gt;&lt;item&gt;347&lt;/item&gt;&lt;item&gt;349&lt;/item&gt;&lt;item&gt;377&lt;/item&gt;&lt;item&gt;390&lt;/item&gt;&lt;item&gt;393&lt;/item&gt;&lt;item&gt;395&lt;/item&gt;&lt;item&gt;400&lt;/item&gt;&lt;item&gt;405&lt;/item&gt;&lt;item&gt;426&lt;/item&gt;&lt;item&gt;427&lt;/item&gt;&lt;item&gt;435&lt;/item&gt;&lt;item&gt;468&lt;/item&gt;&lt;item&gt;478&lt;/item&gt;&lt;item&gt;516&lt;/item&gt;&lt;item&gt;519&lt;/item&gt;&lt;item&gt;525&lt;/item&gt;&lt;item&gt;537&lt;/item&gt;&lt;item&gt;548&lt;/item&gt;&lt;item&gt;556&lt;/item&gt;&lt;item&gt;569&lt;/item&gt;&lt;item&gt;586&lt;/item&gt;&lt;item&gt;603&lt;/item&gt;&lt;item&gt;606&lt;/item&gt;&lt;item&gt;643&lt;/item&gt;&lt;item&gt;663&lt;/item&gt;&lt;item&gt;675&lt;/item&gt;&lt;item&gt;676&lt;/item&gt;&lt;item&gt;678&lt;/item&gt;&lt;item&gt;680&lt;/item&gt;&lt;item&gt;681&lt;/item&gt;&lt;item&gt;682&lt;/item&gt;&lt;item&gt;685&lt;/item&gt;&lt;item&gt;691&lt;/item&gt;&lt;item&gt;695&lt;/item&gt;&lt;item&gt;702&lt;/item&gt;&lt;item&gt;705&lt;/item&gt;&lt;item&gt;714&lt;/item&gt;&lt;item&gt;766&lt;/item&gt;&lt;item&gt;768&lt;/item&gt;&lt;item&gt;803&lt;/item&gt;&lt;item&gt;818&lt;/item&gt;&lt;item&gt;823&lt;/item&gt;&lt;item&gt;852&lt;/item&gt;&lt;item&gt;853&lt;/item&gt;&lt;item&gt;873&lt;/item&gt;&lt;item&gt;874&lt;/item&gt;&lt;item&gt;918&lt;/item&gt;&lt;item&gt;949&lt;/item&gt;&lt;item&gt;954&lt;/item&gt;&lt;item&gt;956&lt;/item&gt;&lt;item&gt;966&lt;/item&gt;&lt;item&gt;971&lt;/item&gt;&lt;item&gt;972&lt;/item&gt;&lt;item&gt;973&lt;/item&gt;&lt;item&gt;994&lt;/item&gt;&lt;item&gt;1011&lt;/item&gt;&lt;item&gt;1054&lt;/item&gt;&lt;item&gt;1055&lt;/item&gt;&lt;item&gt;1056&lt;/item&gt;&lt;item&gt;1058&lt;/item&gt;&lt;item&gt;1066&lt;/item&gt;&lt;item&gt;1069&lt;/item&gt;&lt;item&gt;1072&lt;/item&gt;&lt;item&gt;1083&lt;/item&gt;&lt;item&gt;1084&lt;/item&gt;&lt;item&gt;1094&lt;/item&gt;&lt;item&gt;1102&lt;/item&gt;&lt;item&gt;1103&lt;/item&gt;&lt;item&gt;1104&lt;/item&gt;&lt;item&gt;1106&lt;/item&gt;&lt;item&gt;1113&lt;/item&gt;&lt;item&gt;1121&lt;/item&gt;&lt;item&gt;1122&lt;/item&gt;&lt;item&gt;1127&lt;/item&gt;&lt;item&gt;1129&lt;/item&gt;&lt;item&gt;1143&lt;/item&gt;&lt;item&gt;1345&lt;/item&gt;&lt;item&gt;1360&lt;/item&gt;&lt;/record-ids&gt;&lt;/item&gt;&lt;/Libraries&gt;"/>
  </w:docVars>
  <w:rsids>
    <w:rsidRoot w:val="004B056F"/>
    <w:rsid w:val="00000588"/>
    <w:rsid w:val="0000307B"/>
    <w:rsid w:val="0000520B"/>
    <w:rsid w:val="00005616"/>
    <w:rsid w:val="0000635C"/>
    <w:rsid w:val="00007620"/>
    <w:rsid w:val="000104EE"/>
    <w:rsid w:val="00011CA0"/>
    <w:rsid w:val="00012841"/>
    <w:rsid w:val="00012DA1"/>
    <w:rsid w:val="00012DC4"/>
    <w:rsid w:val="00013CC3"/>
    <w:rsid w:val="00014523"/>
    <w:rsid w:val="00014690"/>
    <w:rsid w:val="00014F99"/>
    <w:rsid w:val="00015679"/>
    <w:rsid w:val="00016024"/>
    <w:rsid w:val="00016A4E"/>
    <w:rsid w:val="00020258"/>
    <w:rsid w:val="0002066B"/>
    <w:rsid w:val="00020DB7"/>
    <w:rsid w:val="0002142B"/>
    <w:rsid w:val="0002166C"/>
    <w:rsid w:val="00021B2D"/>
    <w:rsid w:val="00023465"/>
    <w:rsid w:val="000237EB"/>
    <w:rsid w:val="00024B42"/>
    <w:rsid w:val="00024BAE"/>
    <w:rsid w:val="00025AC8"/>
    <w:rsid w:val="00025C47"/>
    <w:rsid w:val="00030AFA"/>
    <w:rsid w:val="00031E13"/>
    <w:rsid w:val="000324E7"/>
    <w:rsid w:val="0003294F"/>
    <w:rsid w:val="00033925"/>
    <w:rsid w:val="000354A6"/>
    <w:rsid w:val="00035BDA"/>
    <w:rsid w:val="00036523"/>
    <w:rsid w:val="0003672E"/>
    <w:rsid w:val="000371AD"/>
    <w:rsid w:val="00037632"/>
    <w:rsid w:val="0003789A"/>
    <w:rsid w:val="00040336"/>
    <w:rsid w:val="000411E1"/>
    <w:rsid w:val="0004191E"/>
    <w:rsid w:val="000427C3"/>
    <w:rsid w:val="0004403E"/>
    <w:rsid w:val="00044BD1"/>
    <w:rsid w:val="000460CF"/>
    <w:rsid w:val="000472D6"/>
    <w:rsid w:val="0004778F"/>
    <w:rsid w:val="00047ACA"/>
    <w:rsid w:val="00047FA4"/>
    <w:rsid w:val="0005055F"/>
    <w:rsid w:val="00050DCA"/>
    <w:rsid w:val="000514F6"/>
    <w:rsid w:val="000521FC"/>
    <w:rsid w:val="000527FF"/>
    <w:rsid w:val="000535B0"/>
    <w:rsid w:val="0005361C"/>
    <w:rsid w:val="000543E0"/>
    <w:rsid w:val="00054A12"/>
    <w:rsid w:val="00054FFF"/>
    <w:rsid w:val="000552D2"/>
    <w:rsid w:val="000553BA"/>
    <w:rsid w:val="00055435"/>
    <w:rsid w:val="000559F1"/>
    <w:rsid w:val="00055B82"/>
    <w:rsid w:val="00056BA9"/>
    <w:rsid w:val="00057246"/>
    <w:rsid w:val="00057E7D"/>
    <w:rsid w:val="00060902"/>
    <w:rsid w:val="0006181E"/>
    <w:rsid w:val="000621B0"/>
    <w:rsid w:val="0006221E"/>
    <w:rsid w:val="00062852"/>
    <w:rsid w:val="00062A93"/>
    <w:rsid w:val="00062A96"/>
    <w:rsid w:val="0006310D"/>
    <w:rsid w:val="000638AC"/>
    <w:rsid w:val="00063F10"/>
    <w:rsid w:val="0006445D"/>
    <w:rsid w:val="00064A57"/>
    <w:rsid w:val="000661B0"/>
    <w:rsid w:val="00066807"/>
    <w:rsid w:val="00070480"/>
    <w:rsid w:val="00070748"/>
    <w:rsid w:val="000707C2"/>
    <w:rsid w:val="00070956"/>
    <w:rsid w:val="0007178E"/>
    <w:rsid w:val="000721CA"/>
    <w:rsid w:val="00072E9D"/>
    <w:rsid w:val="00073DC4"/>
    <w:rsid w:val="0007514D"/>
    <w:rsid w:val="0007564E"/>
    <w:rsid w:val="0007607F"/>
    <w:rsid w:val="000764CB"/>
    <w:rsid w:val="000772B8"/>
    <w:rsid w:val="000773DD"/>
    <w:rsid w:val="00077DE5"/>
    <w:rsid w:val="00077E0A"/>
    <w:rsid w:val="0008175E"/>
    <w:rsid w:val="00082D21"/>
    <w:rsid w:val="00083142"/>
    <w:rsid w:val="0008438F"/>
    <w:rsid w:val="000843BB"/>
    <w:rsid w:val="00084A24"/>
    <w:rsid w:val="000856B4"/>
    <w:rsid w:val="0008583A"/>
    <w:rsid w:val="00086244"/>
    <w:rsid w:val="00086DF4"/>
    <w:rsid w:val="00087367"/>
    <w:rsid w:val="0008795C"/>
    <w:rsid w:val="000902E2"/>
    <w:rsid w:val="00090789"/>
    <w:rsid w:val="0009150D"/>
    <w:rsid w:val="000923CE"/>
    <w:rsid w:val="00092430"/>
    <w:rsid w:val="00092EEB"/>
    <w:rsid w:val="00092FFE"/>
    <w:rsid w:val="00093E44"/>
    <w:rsid w:val="00095978"/>
    <w:rsid w:val="00095A8E"/>
    <w:rsid w:val="00095D92"/>
    <w:rsid w:val="000967D9"/>
    <w:rsid w:val="000970E7"/>
    <w:rsid w:val="000A0976"/>
    <w:rsid w:val="000A1D8C"/>
    <w:rsid w:val="000A1E7D"/>
    <w:rsid w:val="000A244D"/>
    <w:rsid w:val="000A40AE"/>
    <w:rsid w:val="000A43FB"/>
    <w:rsid w:val="000A4D89"/>
    <w:rsid w:val="000A4FE4"/>
    <w:rsid w:val="000A5522"/>
    <w:rsid w:val="000A55F8"/>
    <w:rsid w:val="000A5AD7"/>
    <w:rsid w:val="000A6686"/>
    <w:rsid w:val="000A7718"/>
    <w:rsid w:val="000B0979"/>
    <w:rsid w:val="000B0AE1"/>
    <w:rsid w:val="000B0ED4"/>
    <w:rsid w:val="000B125F"/>
    <w:rsid w:val="000B1B5C"/>
    <w:rsid w:val="000B2E9D"/>
    <w:rsid w:val="000B3020"/>
    <w:rsid w:val="000B3178"/>
    <w:rsid w:val="000B3202"/>
    <w:rsid w:val="000B35C2"/>
    <w:rsid w:val="000B3B3B"/>
    <w:rsid w:val="000B5067"/>
    <w:rsid w:val="000B5323"/>
    <w:rsid w:val="000B65C5"/>
    <w:rsid w:val="000B6CFE"/>
    <w:rsid w:val="000B76E4"/>
    <w:rsid w:val="000C0797"/>
    <w:rsid w:val="000C0B22"/>
    <w:rsid w:val="000C0F0C"/>
    <w:rsid w:val="000C3EBC"/>
    <w:rsid w:val="000C4739"/>
    <w:rsid w:val="000C5CE5"/>
    <w:rsid w:val="000C7102"/>
    <w:rsid w:val="000D0058"/>
    <w:rsid w:val="000D04CD"/>
    <w:rsid w:val="000D0578"/>
    <w:rsid w:val="000D0F22"/>
    <w:rsid w:val="000D1111"/>
    <w:rsid w:val="000D2651"/>
    <w:rsid w:val="000D395F"/>
    <w:rsid w:val="000D3EA9"/>
    <w:rsid w:val="000D4C47"/>
    <w:rsid w:val="000E2350"/>
    <w:rsid w:val="000E2452"/>
    <w:rsid w:val="000E288A"/>
    <w:rsid w:val="000E2CC7"/>
    <w:rsid w:val="000E4A93"/>
    <w:rsid w:val="000E54D7"/>
    <w:rsid w:val="000E5653"/>
    <w:rsid w:val="000E5787"/>
    <w:rsid w:val="000E5CB7"/>
    <w:rsid w:val="000E619F"/>
    <w:rsid w:val="000E64CB"/>
    <w:rsid w:val="000E6F2C"/>
    <w:rsid w:val="000F1443"/>
    <w:rsid w:val="000F3D1C"/>
    <w:rsid w:val="000F41D6"/>
    <w:rsid w:val="000F619C"/>
    <w:rsid w:val="000F7005"/>
    <w:rsid w:val="00100791"/>
    <w:rsid w:val="00101154"/>
    <w:rsid w:val="00101446"/>
    <w:rsid w:val="00101B80"/>
    <w:rsid w:val="00101E7D"/>
    <w:rsid w:val="00101EF9"/>
    <w:rsid w:val="00102CF6"/>
    <w:rsid w:val="001030A1"/>
    <w:rsid w:val="0010372E"/>
    <w:rsid w:val="00104ED7"/>
    <w:rsid w:val="00104FC0"/>
    <w:rsid w:val="00105C19"/>
    <w:rsid w:val="00106488"/>
    <w:rsid w:val="00106535"/>
    <w:rsid w:val="00106700"/>
    <w:rsid w:val="0010681C"/>
    <w:rsid w:val="00107B20"/>
    <w:rsid w:val="001124E6"/>
    <w:rsid w:val="00112D3F"/>
    <w:rsid w:val="0011408B"/>
    <w:rsid w:val="0011458D"/>
    <w:rsid w:val="00114C9B"/>
    <w:rsid w:val="0011521F"/>
    <w:rsid w:val="00115852"/>
    <w:rsid w:val="00115E77"/>
    <w:rsid w:val="0011614B"/>
    <w:rsid w:val="00116F6C"/>
    <w:rsid w:val="00117993"/>
    <w:rsid w:val="00117E6B"/>
    <w:rsid w:val="001207CF"/>
    <w:rsid w:val="00121079"/>
    <w:rsid w:val="0012141A"/>
    <w:rsid w:val="00122058"/>
    <w:rsid w:val="001235B6"/>
    <w:rsid w:val="00123C4A"/>
    <w:rsid w:val="00124319"/>
    <w:rsid w:val="001243EE"/>
    <w:rsid w:val="0012443D"/>
    <w:rsid w:val="00125270"/>
    <w:rsid w:val="00125A90"/>
    <w:rsid w:val="00125CDA"/>
    <w:rsid w:val="00125DE8"/>
    <w:rsid w:val="00125FDD"/>
    <w:rsid w:val="001262E0"/>
    <w:rsid w:val="00126F6F"/>
    <w:rsid w:val="001278F1"/>
    <w:rsid w:val="00127DC0"/>
    <w:rsid w:val="0013009A"/>
    <w:rsid w:val="00131758"/>
    <w:rsid w:val="00133578"/>
    <w:rsid w:val="001335FB"/>
    <w:rsid w:val="00133C78"/>
    <w:rsid w:val="0013503B"/>
    <w:rsid w:val="00135AD9"/>
    <w:rsid w:val="00136222"/>
    <w:rsid w:val="00136E28"/>
    <w:rsid w:val="00137298"/>
    <w:rsid w:val="00140100"/>
    <w:rsid w:val="00142279"/>
    <w:rsid w:val="001423AD"/>
    <w:rsid w:val="00142464"/>
    <w:rsid w:val="00142C98"/>
    <w:rsid w:val="0014320A"/>
    <w:rsid w:val="001439B7"/>
    <w:rsid w:val="0014438F"/>
    <w:rsid w:val="00144B78"/>
    <w:rsid w:val="00145C4F"/>
    <w:rsid w:val="001461B5"/>
    <w:rsid w:val="001466C3"/>
    <w:rsid w:val="00146EBA"/>
    <w:rsid w:val="00147955"/>
    <w:rsid w:val="00147ADB"/>
    <w:rsid w:val="00150075"/>
    <w:rsid w:val="001500CA"/>
    <w:rsid w:val="00151823"/>
    <w:rsid w:val="00152837"/>
    <w:rsid w:val="001528DE"/>
    <w:rsid w:val="001532E0"/>
    <w:rsid w:val="00153649"/>
    <w:rsid w:val="00154A09"/>
    <w:rsid w:val="00154B91"/>
    <w:rsid w:val="00155026"/>
    <w:rsid w:val="00156A8C"/>
    <w:rsid w:val="00156C32"/>
    <w:rsid w:val="001570D2"/>
    <w:rsid w:val="00157243"/>
    <w:rsid w:val="001574CA"/>
    <w:rsid w:val="00157A01"/>
    <w:rsid w:val="00157A95"/>
    <w:rsid w:val="00157C25"/>
    <w:rsid w:val="0016046E"/>
    <w:rsid w:val="00161767"/>
    <w:rsid w:val="00161C6D"/>
    <w:rsid w:val="00162E0A"/>
    <w:rsid w:val="001632C3"/>
    <w:rsid w:val="00163759"/>
    <w:rsid w:val="00164600"/>
    <w:rsid w:val="001652F5"/>
    <w:rsid w:val="001663E4"/>
    <w:rsid w:val="001664C4"/>
    <w:rsid w:val="0016651F"/>
    <w:rsid w:val="0016721D"/>
    <w:rsid w:val="001677BC"/>
    <w:rsid w:val="00167E94"/>
    <w:rsid w:val="00170552"/>
    <w:rsid w:val="001707FD"/>
    <w:rsid w:val="00170989"/>
    <w:rsid w:val="00171BC0"/>
    <w:rsid w:val="00171E18"/>
    <w:rsid w:val="001727EF"/>
    <w:rsid w:val="00172E42"/>
    <w:rsid w:val="001748E2"/>
    <w:rsid w:val="001775FC"/>
    <w:rsid w:val="00177885"/>
    <w:rsid w:val="00177C17"/>
    <w:rsid w:val="00180562"/>
    <w:rsid w:val="00181363"/>
    <w:rsid w:val="001818E5"/>
    <w:rsid w:val="001831C0"/>
    <w:rsid w:val="00183237"/>
    <w:rsid w:val="00184188"/>
    <w:rsid w:val="00184200"/>
    <w:rsid w:val="0018436B"/>
    <w:rsid w:val="0018466B"/>
    <w:rsid w:val="001854E3"/>
    <w:rsid w:val="0018596A"/>
    <w:rsid w:val="00187848"/>
    <w:rsid w:val="0019016C"/>
    <w:rsid w:val="001914E2"/>
    <w:rsid w:val="0019155A"/>
    <w:rsid w:val="00191C05"/>
    <w:rsid w:val="00191C19"/>
    <w:rsid w:val="0019269E"/>
    <w:rsid w:val="00192804"/>
    <w:rsid w:val="00194F21"/>
    <w:rsid w:val="00195E38"/>
    <w:rsid w:val="001976B4"/>
    <w:rsid w:val="00197C93"/>
    <w:rsid w:val="001A000F"/>
    <w:rsid w:val="001A0ABB"/>
    <w:rsid w:val="001A0BCB"/>
    <w:rsid w:val="001A1823"/>
    <w:rsid w:val="001A257B"/>
    <w:rsid w:val="001A2843"/>
    <w:rsid w:val="001A28D6"/>
    <w:rsid w:val="001A5398"/>
    <w:rsid w:val="001A54BA"/>
    <w:rsid w:val="001A57EE"/>
    <w:rsid w:val="001A597B"/>
    <w:rsid w:val="001A62FF"/>
    <w:rsid w:val="001A6FF9"/>
    <w:rsid w:val="001A7D98"/>
    <w:rsid w:val="001B0770"/>
    <w:rsid w:val="001B086F"/>
    <w:rsid w:val="001B2E0A"/>
    <w:rsid w:val="001B2EBA"/>
    <w:rsid w:val="001B53F3"/>
    <w:rsid w:val="001B5837"/>
    <w:rsid w:val="001B6498"/>
    <w:rsid w:val="001B7DE9"/>
    <w:rsid w:val="001B7F2D"/>
    <w:rsid w:val="001C0022"/>
    <w:rsid w:val="001C0B16"/>
    <w:rsid w:val="001C1C50"/>
    <w:rsid w:val="001C2263"/>
    <w:rsid w:val="001C2E64"/>
    <w:rsid w:val="001C32CE"/>
    <w:rsid w:val="001C371F"/>
    <w:rsid w:val="001D14A3"/>
    <w:rsid w:val="001D1D28"/>
    <w:rsid w:val="001D2614"/>
    <w:rsid w:val="001D3282"/>
    <w:rsid w:val="001D3752"/>
    <w:rsid w:val="001D3A0A"/>
    <w:rsid w:val="001D4BE4"/>
    <w:rsid w:val="001D4D7A"/>
    <w:rsid w:val="001D4FE2"/>
    <w:rsid w:val="001D5508"/>
    <w:rsid w:val="001D5513"/>
    <w:rsid w:val="001D65EE"/>
    <w:rsid w:val="001D6699"/>
    <w:rsid w:val="001D6E7D"/>
    <w:rsid w:val="001D77EE"/>
    <w:rsid w:val="001D7FD3"/>
    <w:rsid w:val="001E15CF"/>
    <w:rsid w:val="001E25F6"/>
    <w:rsid w:val="001E3A1E"/>
    <w:rsid w:val="001E3FB5"/>
    <w:rsid w:val="001E42D1"/>
    <w:rsid w:val="001E52D5"/>
    <w:rsid w:val="001E58C4"/>
    <w:rsid w:val="001E5C55"/>
    <w:rsid w:val="001E6CE7"/>
    <w:rsid w:val="001E6FE6"/>
    <w:rsid w:val="001E7396"/>
    <w:rsid w:val="001F0516"/>
    <w:rsid w:val="001F0B6B"/>
    <w:rsid w:val="001F10AE"/>
    <w:rsid w:val="001F1955"/>
    <w:rsid w:val="001F2227"/>
    <w:rsid w:val="001F26F5"/>
    <w:rsid w:val="001F3400"/>
    <w:rsid w:val="001F344C"/>
    <w:rsid w:val="001F3F7B"/>
    <w:rsid w:val="001F4D44"/>
    <w:rsid w:val="001F58B9"/>
    <w:rsid w:val="001F62AF"/>
    <w:rsid w:val="001F63F8"/>
    <w:rsid w:val="001F7315"/>
    <w:rsid w:val="001F7D9D"/>
    <w:rsid w:val="00200DA2"/>
    <w:rsid w:val="00201155"/>
    <w:rsid w:val="002017BA"/>
    <w:rsid w:val="00202045"/>
    <w:rsid w:val="00202D12"/>
    <w:rsid w:val="002051A9"/>
    <w:rsid w:val="00206661"/>
    <w:rsid w:val="00206CFF"/>
    <w:rsid w:val="002075D3"/>
    <w:rsid w:val="00211D5E"/>
    <w:rsid w:val="00211FAA"/>
    <w:rsid w:val="00212FA4"/>
    <w:rsid w:val="00213DE5"/>
    <w:rsid w:val="00213F8C"/>
    <w:rsid w:val="00214200"/>
    <w:rsid w:val="00214DEF"/>
    <w:rsid w:val="00214FBF"/>
    <w:rsid w:val="00215E29"/>
    <w:rsid w:val="002162C3"/>
    <w:rsid w:val="002162CA"/>
    <w:rsid w:val="00216E45"/>
    <w:rsid w:val="00217155"/>
    <w:rsid w:val="00217C4F"/>
    <w:rsid w:val="00221139"/>
    <w:rsid w:val="00221761"/>
    <w:rsid w:val="00221EA9"/>
    <w:rsid w:val="00222936"/>
    <w:rsid w:val="00222A2F"/>
    <w:rsid w:val="00223FB1"/>
    <w:rsid w:val="00224545"/>
    <w:rsid w:val="002248C5"/>
    <w:rsid w:val="00225281"/>
    <w:rsid w:val="00225526"/>
    <w:rsid w:val="00225D0D"/>
    <w:rsid w:val="00226CEC"/>
    <w:rsid w:val="002270C4"/>
    <w:rsid w:val="0022750C"/>
    <w:rsid w:val="002305A5"/>
    <w:rsid w:val="00230665"/>
    <w:rsid w:val="00230990"/>
    <w:rsid w:val="002311AB"/>
    <w:rsid w:val="002311FB"/>
    <w:rsid w:val="00231940"/>
    <w:rsid w:val="00232679"/>
    <w:rsid w:val="0023277D"/>
    <w:rsid w:val="00235DD6"/>
    <w:rsid w:val="0023745B"/>
    <w:rsid w:val="00237530"/>
    <w:rsid w:val="00237D50"/>
    <w:rsid w:val="00240FA6"/>
    <w:rsid w:val="00242156"/>
    <w:rsid w:val="00243018"/>
    <w:rsid w:val="002439EE"/>
    <w:rsid w:val="00245586"/>
    <w:rsid w:val="0025168F"/>
    <w:rsid w:val="00253583"/>
    <w:rsid w:val="00253FAF"/>
    <w:rsid w:val="002555AC"/>
    <w:rsid w:val="0025580A"/>
    <w:rsid w:val="00256BE8"/>
    <w:rsid w:val="00256DC4"/>
    <w:rsid w:val="002572F2"/>
    <w:rsid w:val="00257FEF"/>
    <w:rsid w:val="0026158B"/>
    <w:rsid w:val="002615A2"/>
    <w:rsid w:val="0026184C"/>
    <w:rsid w:val="00261A49"/>
    <w:rsid w:val="00261BCC"/>
    <w:rsid w:val="00262CF4"/>
    <w:rsid w:val="002641BE"/>
    <w:rsid w:val="00264AAC"/>
    <w:rsid w:val="00266E3E"/>
    <w:rsid w:val="00267C06"/>
    <w:rsid w:val="002700CD"/>
    <w:rsid w:val="002715EC"/>
    <w:rsid w:val="00272DF5"/>
    <w:rsid w:val="002731A8"/>
    <w:rsid w:val="002734C9"/>
    <w:rsid w:val="00273E19"/>
    <w:rsid w:val="002747A7"/>
    <w:rsid w:val="00275694"/>
    <w:rsid w:val="002759FF"/>
    <w:rsid w:val="002767B1"/>
    <w:rsid w:val="00276EAC"/>
    <w:rsid w:val="00280A16"/>
    <w:rsid w:val="00280AAE"/>
    <w:rsid w:val="00280E7B"/>
    <w:rsid w:val="002829F6"/>
    <w:rsid w:val="002832DD"/>
    <w:rsid w:val="00283E40"/>
    <w:rsid w:val="002844BF"/>
    <w:rsid w:val="00284C3F"/>
    <w:rsid w:val="00286956"/>
    <w:rsid w:val="00286F7D"/>
    <w:rsid w:val="00290098"/>
    <w:rsid w:val="00291518"/>
    <w:rsid w:val="00291924"/>
    <w:rsid w:val="00291F43"/>
    <w:rsid w:val="0029219E"/>
    <w:rsid w:val="00292E2A"/>
    <w:rsid w:val="002935EF"/>
    <w:rsid w:val="00295933"/>
    <w:rsid w:val="00297560"/>
    <w:rsid w:val="00297812"/>
    <w:rsid w:val="00297B61"/>
    <w:rsid w:val="00297F7D"/>
    <w:rsid w:val="002A0819"/>
    <w:rsid w:val="002A151E"/>
    <w:rsid w:val="002A26A9"/>
    <w:rsid w:val="002A3FBF"/>
    <w:rsid w:val="002A4877"/>
    <w:rsid w:val="002A5F7A"/>
    <w:rsid w:val="002B040D"/>
    <w:rsid w:val="002B0D6F"/>
    <w:rsid w:val="002B195F"/>
    <w:rsid w:val="002B3F3E"/>
    <w:rsid w:val="002B3F40"/>
    <w:rsid w:val="002B4285"/>
    <w:rsid w:val="002B4E8A"/>
    <w:rsid w:val="002B4F57"/>
    <w:rsid w:val="002C0328"/>
    <w:rsid w:val="002C03A8"/>
    <w:rsid w:val="002C198F"/>
    <w:rsid w:val="002C2A9B"/>
    <w:rsid w:val="002C34D8"/>
    <w:rsid w:val="002C461F"/>
    <w:rsid w:val="002C4B1D"/>
    <w:rsid w:val="002C5021"/>
    <w:rsid w:val="002C57B5"/>
    <w:rsid w:val="002C59ED"/>
    <w:rsid w:val="002C7475"/>
    <w:rsid w:val="002C74C9"/>
    <w:rsid w:val="002C7D52"/>
    <w:rsid w:val="002D2C5B"/>
    <w:rsid w:val="002D2FB0"/>
    <w:rsid w:val="002D31F0"/>
    <w:rsid w:val="002D40A6"/>
    <w:rsid w:val="002D42FE"/>
    <w:rsid w:val="002D4601"/>
    <w:rsid w:val="002D47FA"/>
    <w:rsid w:val="002D4BDC"/>
    <w:rsid w:val="002D52CB"/>
    <w:rsid w:val="002D53EC"/>
    <w:rsid w:val="002D745E"/>
    <w:rsid w:val="002E0EEB"/>
    <w:rsid w:val="002E2CD2"/>
    <w:rsid w:val="002E426A"/>
    <w:rsid w:val="002E46A9"/>
    <w:rsid w:val="002E50E2"/>
    <w:rsid w:val="002E536D"/>
    <w:rsid w:val="002E5839"/>
    <w:rsid w:val="002E611F"/>
    <w:rsid w:val="002E729E"/>
    <w:rsid w:val="002E7803"/>
    <w:rsid w:val="002E7BC7"/>
    <w:rsid w:val="002F01ED"/>
    <w:rsid w:val="002F0831"/>
    <w:rsid w:val="002F20DE"/>
    <w:rsid w:val="002F26D6"/>
    <w:rsid w:val="002F2CC0"/>
    <w:rsid w:val="002F4A07"/>
    <w:rsid w:val="002F58BE"/>
    <w:rsid w:val="002F6991"/>
    <w:rsid w:val="002F6A79"/>
    <w:rsid w:val="002F71DE"/>
    <w:rsid w:val="002F7FC4"/>
    <w:rsid w:val="00300BAB"/>
    <w:rsid w:val="0030127D"/>
    <w:rsid w:val="003012B3"/>
    <w:rsid w:val="003016E2"/>
    <w:rsid w:val="00301B30"/>
    <w:rsid w:val="00301E02"/>
    <w:rsid w:val="00303AAC"/>
    <w:rsid w:val="00304DBB"/>
    <w:rsid w:val="00305805"/>
    <w:rsid w:val="00305C16"/>
    <w:rsid w:val="00306F74"/>
    <w:rsid w:val="00310BA9"/>
    <w:rsid w:val="00310FEB"/>
    <w:rsid w:val="00312771"/>
    <w:rsid w:val="003129DB"/>
    <w:rsid w:val="00312C0D"/>
    <w:rsid w:val="003143CB"/>
    <w:rsid w:val="00314781"/>
    <w:rsid w:val="00314CEB"/>
    <w:rsid w:val="00317827"/>
    <w:rsid w:val="00320D59"/>
    <w:rsid w:val="003238D3"/>
    <w:rsid w:val="0032395B"/>
    <w:rsid w:val="00323B93"/>
    <w:rsid w:val="0032636A"/>
    <w:rsid w:val="00327466"/>
    <w:rsid w:val="003278DE"/>
    <w:rsid w:val="0033382B"/>
    <w:rsid w:val="0033536B"/>
    <w:rsid w:val="00335CD5"/>
    <w:rsid w:val="00336BDC"/>
    <w:rsid w:val="003374AE"/>
    <w:rsid w:val="00337604"/>
    <w:rsid w:val="00337642"/>
    <w:rsid w:val="0034036B"/>
    <w:rsid w:val="00340591"/>
    <w:rsid w:val="00340899"/>
    <w:rsid w:val="00341AD8"/>
    <w:rsid w:val="00341C33"/>
    <w:rsid w:val="00342336"/>
    <w:rsid w:val="00342FA6"/>
    <w:rsid w:val="003468EB"/>
    <w:rsid w:val="003468FF"/>
    <w:rsid w:val="003479F7"/>
    <w:rsid w:val="00347D51"/>
    <w:rsid w:val="00350D9E"/>
    <w:rsid w:val="0035120F"/>
    <w:rsid w:val="003517FC"/>
    <w:rsid w:val="00351E19"/>
    <w:rsid w:val="003544AD"/>
    <w:rsid w:val="003554A3"/>
    <w:rsid w:val="003601C4"/>
    <w:rsid w:val="00361853"/>
    <w:rsid w:val="0036195B"/>
    <w:rsid w:val="0036198E"/>
    <w:rsid w:val="00362BCB"/>
    <w:rsid w:val="00362FD5"/>
    <w:rsid w:val="00363ACF"/>
    <w:rsid w:val="00363B05"/>
    <w:rsid w:val="003643D6"/>
    <w:rsid w:val="00364781"/>
    <w:rsid w:val="00364782"/>
    <w:rsid w:val="00364969"/>
    <w:rsid w:val="00364E5C"/>
    <w:rsid w:val="0036634A"/>
    <w:rsid w:val="003664F4"/>
    <w:rsid w:val="00370ACD"/>
    <w:rsid w:val="00370BB2"/>
    <w:rsid w:val="00370CBD"/>
    <w:rsid w:val="00370FC4"/>
    <w:rsid w:val="003714A3"/>
    <w:rsid w:val="0037207C"/>
    <w:rsid w:val="0037311E"/>
    <w:rsid w:val="00373BA9"/>
    <w:rsid w:val="003744B5"/>
    <w:rsid w:val="00374896"/>
    <w:rsid w:val="0037492E"/>
    <w:rsid w:val="003751D6"/>
    <w:rsid w:val="003753C6"/>
    <w:rsid w:val="00375D58"/>
    <w:rsid w:val="0037602F"/>
    <w:rsid w:val="003766C6"/>
    <w:rsid w:val="00380C5A"/>
    <w:rsid w:val="003816D8"/>
    <w:rsid w:val="00382E8A"/>
    <w:rsid w:val="00383265"/>
    <w:rsid w:val="003832D9"/>
    <w:rsid w:val="00384467"/>
    <w:rsid w:val="00384D0C"/>
    <w:rsid w:val="00384F33"/>
    <w:rsid w:val="00385B7E"/>
    <w:rsid w:val="003861ED"/>
    <w:rsid w:val="00386D8C"/>
    <w:rsid w:val="00386DD4"/>
    <w:rsid w:val="003877FA"/>
    <w:rsid w:val="00387F22"/>
    <w:rsid w:val="003901C0"/>
    <w:rsid w:val="00391472"/>
    <w:rsid w:val="003929E1"/>
    <w:rsid w:val="00393E29"/>
    <w:rsid w:val="00393F53"/>
    <w:rsid w:val="00394222"/>
    <w:rsid w:val="00394243"/>
    <w:rsid w:val="003959F9"/>
    <w:rsid w:val="00395F2A"/>
    <w:rsid w:val="00396DDA"/>
    <w:rsid w:val="003975EF"/>
    <w:rsid w:val="00397F05"/>
    <w:rsid w:val="003A08AD"/>
    <w:rsid w:val="003A1E19"/>
    <w:rsid w:val="003A3485"/>
    <w:rsid w:val="003A3720"/>
    <w:rsid w:val="003A39AF"/>
    <w:rsid w:val="003A52FE"/>
    <w:rsid w:val="003A5409"/>
    <w:rsid w:val="003A731A"/>
    <w:rsid w:val="003B0C3A"/>
    <w:rsid w:val="003B1265"/>
    <w:rsid w:val="003B1AD1"/>
    <w:rsid w:val="003B25CB"/>
    <w:rsid w:val="003B283A"/>
    <w:rsid w:val="003B2D60"/>
    <w:rsid w:val="003B3B38"/>
    <w:rsid w:val="003B442A"/>
    <w:rsid w:val="003B53A0"/>
    <w:rsid w:val="003B5FA0"/>
    <w:rsid w:val="003B6F59"/>
    <w:rsid w:val="003B72E5"/>
    <w:rsid w:val="003C0235"/>
    <w:rsid w:val="003C02F4"/>
    <w:rsid w:val="003C0834"/>
    <w:rsid w:val="003C0A6F"/>
    <w:rsid w:val="003C0B95"/>
    <w:rsid w:val="003C0C6E"/>
    <w:rsid w:val="003C19AE"/>
    <w:rsid w:val="003C3079"/>
    <w:rsid w:val="003C4188"/>
    <w:rsid w:val="003C4B66"/>
    <w:rsid w:val="003C5EC8"/>
    <w:rsid w:val="003C6254"/>
    <w:rsid w:val="003C7131"/>
    <w:rsid w:val="003D0DAB"/>
    <w:rsid w:val="003D128E"/>
    <w:rsid w:val="003D14FC"/>
    <w:rsid w:val="003D19AE"/>
    <w:rsid w:val="003D1BBB"/>
    <w:rsid w:val="003D1CD8"/>
    <w:rsid w:val="003D2DA7"/>
    <w:rsid w:val="003D3526"/>
    <w:rsid w:val="003D45AF"/>
    <w:rsid w:val="003D5F72"/>
    <w:rsid w:val="003D5FAE"/>
    <w:rsid w:val="003D6703"/>
    <w:rsid w:val="003E1EAB"/>
    <w:rsid w:val="003E259A"/>
    <w:rsid w:val="003E2A5D"/>
    <w:rsid w:val="003E4349"/>
    <w:rsid w:val="003E4812"/>
    <w:rsid w:val="003E5CED"/>
    <w:rsid w:val="003E6EE0"/>
    <w:rsid w:val="003E7DE4"/>
    <w:rsid w:val="003F01FE"/>
    <w:rsid w:val="003F07B0"/>
    <w:rsid w:val="003F1EC6"/>
    <w:rsid w:val="003F34DA"/>
    <w:rsid w:val="003F364D"/>
    <w:rsid w:val="003F38A1"/>
    <w:rsid w:val="003F41C0"/>
    <w:rsid w:val="003F41F7"/>
    <w:rsid w:val="003F4326"/>
    <w:rsid w:val="003F46F7"/>
    <w:rsid w:val="003F557E"/>
    <w:rsid w:val="0040125C"/>
    <w:rsid w:val="00402733"/>
    <w:rsid w:val="00403E21"/>
    <w:rsid w:val="0040463D"/>
    <w:rsid w:val="00405C15"/>
    <w:rsid w:val="00410B54"/>
    <w:rsid w:val="0041134B"/>
    <w:rsid w:val="00412CF6"/>
    <w:rsid w:val="00412EF8"/>
    <w:rsid w:val="00413F89"/>
    <w:rsid w:val="00414C3B"/>
    <w:rsid w:val="00415EDE"/>
    <w:rsid w:val="00416ABD"/>
    <w:rsid w:val="00416BDA"/>
    <w:rsid w:val="00416FA2"/>
    <w:rsid w:val="004170B9"/>
    <w:rsid w:val="00417170"/>
    <w:rsid w:val="004200C8"/>
    <w:rsid w:val="00420150"/>
    <w:rsid w:val="00421BC3"/>
    <w:rsid w:val="0042211B"/>
    <w:rsid w:val="00422878"/>
    <w:rsid w:val="00422B53"/>
    <w:rsid w:val="00423072"/>
    <w:rsid w:val="004233BD"/>
    <w:rsid w:val="004242C3"/>
    <w:rsid w:val="00424B43"/>
    <w:rsid w:val="00427649"/>
    <w:rsid w:val="00430A76"/>
    <w:rsid w:val="00430DEF"/>
    <w:rsid w:val="0043179C"/>
    <w:rsid w:val="00431E37"/>
    <w:rsid w:val="004322C8"/>
    <w:rsid w:val="0043312B"/>
    <w:rsid w:val="00435C33"/>
    <w:rsid w:val="004368B2"/>
    <w:rsid w:val="004370F8"/>
    <w:rsid w:val="004403EF"/>
    <w:rsid w:val="00440E6A"/>
    <w:rsid w:val="0044122F"/>
    <w:rsid w:val="00442B7F"/>
    <w:rsid w:val="00443424"/>
    <w:rsid w:val="00444C72"/>
    <w:rsid w:val="00445041"/>
    <w:rsid w:val="004464A2"/>
    <w:rsid w:val="0044658E"/>
    <w:rsid w:val="004472CA"/>
    <w:rsid w:val="00447C1E"/>
    <w:rsid w:val="0045371E"/>
    <w:rsid w:val="00453809"/>
    <w:rsid w:val="00453E56"/>
    <w:rsid w:val="0045721E"/>
    <w:rsid w:val="00457B48"/>
    <w:rsid w:val="00457FB3"/>
    <w:rsid w:val="00460171"/>
    <w:rsid w:val="00460970"/>
    <w:rsid w:val="00460A6F"/>
    <w:rsid w:val="00461900"/>
    <w:rsid w:val="00461CE2"/>
    <w:rsid w:val="00461D1A"/>
    <w:rsid w:val="00462815"/>
    <w:rsid w:val="0046314B"/>
    <w:rsid w:val="00465E8A"/>
    <w:rsid w:val="00466CDF"/>
    <w:rsid w:val="00467177"/>
    <w:rsid w:val="004672CB"/>
    <w:rsid w:val="004673C5"/>
    <w:rsid w:val="0046760E"/>
    <w:rsid w:val="00467F0A"/>
    <w:rsid w:val="00470C85"/>
    <w:rsid w:val="00471953"/>
    <w:rsid w:val="00471A9A"/>
    <w:rsid w:val="00472528"/>
    <w:rsid w:val="00473331"/>
    <w:rsid w:val="0047370E"/>
    <w:rsid w:val="00473AD9"/>
    <w:rsid w:val="00473C70"/>
    <w:rsid w:val="004744DC"/>
    <w:rsid w:val="0047570B"/>
    <w:rsid w:val="004770A0"/>
    <w:rsid w:val="00477EBB"/>
    <w:rsid w:val="00480290"/>
    <w:rsid w:val="00480540"/>
    <w:rsid w:val="0048082E"/>
    <w:rsid w:val="004810EB"/>
    <w:rsid w:val="004815DE"/>
    <w:rsid w:val="004868F3"/>
    <w:rsid w:val="0048713F"/>
    <w:rsid w:val="00487AB1"/>
    <w:rsid w:val="00490472"/>
    <w:rsid w:val="00490C76"/>
    <w:rsid w:val="00491712"/>
    <w:rsid w:val="00491AAA"/>
    <w:rsid w:val="00494B9B"/>
    <w:rsid w:val="00496AE7"/>
    <w:rsid w:val="0049704E"/>
    <w:rsid w:val="004970BD"/>
    <w:rsid w:val="0049753F"/>
    <w:rsid w:val="00497914"/>
    <w:rsid w:val="004A0CA6"/>
    <w:rsid w:val="004A0CCC"/>
    <w:rsid w:val="004A2F64"/>
    <w:rsid w:val="004A419F"/>
    <w:rsid w:val="004A443A"/>
    <w:rsid w:val="004A55CA"/>
    <w:rsid w:val="004A5AEB"/>
    <w:rsid w:val="004A6221"/>
    <w:rsid w:val="004A6400"/>
    <w:rsid w:val="004A6510"/>
    <w:rsid w:val="004A6E72"/>
    <w:rsid w:val="004A7552"/>
    <w:rsid w:val="004A7B7E"/>
    <w:rsid w:val="004B056F"/>
    <w:rsid w:val="004B0740"/>
    <w:rsid w:val="004B07E0"/>
    <w:rsid w:val="004B08E3"/>
    <w:rsid w:val="004B0CFA"/>
    <w:rsid w:val="004B1A9F"/>
    <w:rsid w:val="004B1B23"/>
    <w:rsid w:val="004B1E84"/>
    <w:rsid w:val="004B24D3"/>
    <w:rsid w:val="004B2D13"/>
    <w:rsid w:val="004B2D39"/>
    <w:rsid w:val="004B349D"/>
    <w:rsid w:val="004B43AB"/>
    <w:rsid w:val="004B6B58"/>
    <w:rsid w:val="004B7854"/>
    <w:rsid w:val="004C0128"/>
    <w:rsid w:val="004C051F"/>
    <w:rsid w:val="004C077A"/>
    <w:rsid w:val="004C138C"/>
    <w:rsid w:val="004C2244"/>
    <w:rsid w:val="004C2C71"/>
    <w:rsid w:val="004C3224"/>
    <w:rsid w:val="004C4230"/>
    <w:rsid w:val="004C44AB"/>
    <w:rsid w:val="004C65FB"/>
    <w:rsid w:val="004C74A4"/>
    <w:rsid w:val="004D1312"/>
    <w:rsid w:val="004D182D"/>
    <w:rsid w:val="004D2076"/>
    <w:rsid w:val="004D207D"/>
    <w:rsid w:val="004D28FD"/>
    <w:rsid w:val="004D3E74"/>
    <w:rsid w:val="004D42E8"/>
    <w:rsid w:val="004D441B"/>
    <w:rsid w:val="004D58AB"/>
    <w:rsid w:val="004D6702"/>
    <w:rsid w:val="004D6B40"/>
    <w:rsid w:val="004D75D7"/>
    <w:rsid w:val="004D7A0B"/>
    <w:rsid w:val="004E0960"/>
    <w:rsid w:val="004E134E"/>
    <w:rsid w:val="004E359E"/>
    <w:rsid w:val="004E3A79"/>
    <w:rsid w:val="004E3D4D"/>
    <w:rsid w:val="004E4D6B"/>
    <w:rsid w:val="004E50D9"/>
    <w:rsid w:val="004E5458"/>
    <w:rsid w:val="004E6026"/>
    <w:rsid w:val="004E7BB5"/>
    <w:rsid w:val="004F01BD"/>
    <w:rsid w:val="004F2457"/>
    <w:rsid w:val="004F43A9"/>
    <w:rsid w:val="004F4E27"/>
    <w:rsid w:val="004F6694"/>
    <w:rsid w:val="004F7A09"/>
    <w:rsid w:val="00500157"/>
    <w:rsid w:val="00500252"/>
    <w:rsid w:val="00500776"/>
    <w:rsid w:val="00500859"/>
    <w:rsid w:val="005009B3"/>
    <w:rsid w:val="00500BE8"/>
    <w:rsid w:val="00501D30"/>
    <w:rsid w:val="00502303"/>
    <w:rsid w:val="005024ED"/>
    <w:rsid w:val="00503048"/>
    <w:rsid w:val="00503D9F"/>
    <w:rsid w:val="00505B93"/>
    <w:rsid w:val="00506516"/>
    <w:rsid w:val="00506DF8"/>
    <w:rsid w:val="00507D28"/>
    <w:rsid w:val="005116A7"/>
    <w:rsid w:val="005126A0"/>
    <w:rsid w:val="00513106"/>
    <w:rsid w:val="00513F9F"/>
    <w:rsid w:val="00514289"/>
    <w:rsid w:val="00514E83"/>
    <w:rsid w:val="00515EBE"/>
    <w:rsid w:val="00516112"/>
    <w:rsid w:val="005162AF"/>
    <w:rsid w:val="00516997"/>
    <w:rsid w:val="00516DEA"/>
    <w:rsid w:val="0051728A"/>
    <w:rsid w:val="00520058"/>
    <w:rsid w:val="00520255"/>
    <w:rsid w:val="00520E50"/>
    <w:rsid w:val="00521794"/>
    <w:rsid w:val="00521B0F"/>
    <w:rsid w:val="005226E1"/>
    <w:rsid w:val="00522CA6"/>
    <w:rsid w:val="005233C7"/>
    <w:rsid w:val="005235A5"/>
    <w:rsid w:val="00523A39"/>
    <w:rsid w:val="00523E06"/>
    <w:rsid w:val="00524DB8"/>
    <w:rsid w:val="00525C91"/>
    <w:rsid w:val="00525F78"/>
    <w:rsid w:val="00526A9C"/>
    <w:rsid w:val="00526CB6"/>
    <w:rsid w:val="00527096"/>
    <w:rsid w:val="0053033E"/>
    <w:rsid w:val="005303E2"/>
    <w:rsid w:val="00530A15"/>
    <w:rsid w:val="00530AB3"/>
    <w:rsid w:val="00530B60"/>
    <w:rsid w:val="00530DD3"/>
    <w:rsid w:val="0053123C"/>
    <w:rsid w:val="00531492"/>
    <w:rsid w:val="00531835"/>
    <w:rsid w:val="00531F17"/>
    <w:rsid w:val="0053229C"/>
    <w:rsid w:val="00532694"/>
    <w:rsid w:val="00533246"/>
    <w:rsid w:val="00533DEE"/>
    <w:rsid w:val="0053473A"/>
    <w:rsid w:val="005376C5"/>
    <w:rsid w:val="005376C6"/>
    <w:rsid w:val="00537D09"/>
    <w:rsid w:val="00540C42"/>
    <w:rsid w:val="00540FD4"/>
    <w:rsid w:val="0054140F"/>
    <w:rsid w:val="00541E5F"/>
    <w:rsid w:val="005434DE"/>
    <w:rsid w:val="0054394F"/>
    <w:rsid w:val="00545039"/>
    <w:rsid w:val="005472CA"/>
    <w:rsid w:val="00547AD9"/>
    <w:rsid w:val="00550B82"/>
    <w:rsid w:val="00552589"/>
    <w:rsid w:val="00552B77"/>
    <w:rsid w:val="00552E27"/>
    <w:rsid w:val="00553125"/>
    <w:rsid w:val="005536D9"/>
    <w:rsid w:val="0055452F"/>
    <w:rsid w:val="00554662"/>
    <w:rsid w:val="005556E5"/>
    <w:rsid w:val="00557318"/>
    <w:rsid w:val="00557553"/>
    <w:rsid w:val="0056030E"/>
    <w:rsid w:val="00560427"/>
    <w:rsid w:val="00561BAD"/>
    <w:rsid w:val="0056215C"/>
    <w:rsid w:val="00562531"/>
    <w:rsid w:val="0056293E"/>
    <w:rsid w:val="00562CB7"/>
    <w:rsid w:val="00562E1B"/>
    <w:rsid w:val="00563014"/>
    <w:rsid w:val="00564EBB"/>
    <w:rsid w:val="005652E9"/>
    <w:rsid w:val="005660E5"/>
    <w:rsid w:val="005672AB"/>
    <w:rsid w:val="005700B7"/>
    <w:rsid w:val="0057068B"/>
    <w:rsid w:val="0057161A"/>
    <w:rsid w:val="00572B2D"/>
    <w:rsid w:val="005732C0"/>
    <w:rsid w:val="00573880"/>
    <w:rsid w:val="005743E5"/>
    <w:rsid w:val="0057731D"/>
    <w:rsid w:val="00577900"/>
    <w:rsid w:val="00577D53"/>
    <w:rsid w:val="00580590"/>
    <w:rsid w:val="00580BAB"/>
    <w:rsid w:val="00580DF0"/>
    <w:rsid w:val="00581C1A"/>
    <w:rsid w:val="00582FE7"/>
    <w:rsid w:val="00584A73"/>
    <w:rsid w:val="00585A97"/>
    <w:rsid w:val="00585F3E"/>
    <w:rsid w:val="00586F34"/>
    <w:rsid w:val="0058738A"/>
    <w:rsid w:val="00587E37"/>
    <w:rsid w:val="005908A3"/>
    <w:rsid w:val="005932F2"/>
    <w:rsid w:val="00593768"/>
    <w:rsid w:val="00594B62"/>
    <w:rsid w:val="00595FE6"/>
    <w:rsid w:val="00596338"/>
    <w:rsid w:val="005967C2"/>
    <w:rsid w:val="0059712F"/>
    <w:rsid w:val="00597EAE"/>
    <w:rsid w:val="005A012E"/>
    <w:rsid w:val="005A0291"/>
    <w:rsid w:val="005A02DF"/>
    <w:rsid w:val="005A06E8"/>
    <w:rsid w:val="005A0839"/>
    <w:rsid w:val="005A0A2C"/>
    <w:rsid w:val="005A1795"/>
    <w:rsid w:val="005A55D8"/>
    <w:rsid w:val="005A6C87"/>
    <w:rsid w:val="005A73C4"/>
    <w:rsid w:val="005A7D38"/>
    <w:rsid w:val="005B06CA"/>
    <w:rsid w:val="005B0B98"/>
    <w:rsid w:val="005B1170"/>
    <w:rsid w:val="005B256C"/>
    <w:rsid w:val="005B2CB3"/>
    <w:rsid w:val="005B3835"/>
    <w:rsid w:val="005B42A8"/>
    <w:rsid w:val="005B75ED"/>
    <w:rsid w:val="005B7DD9"/>
    <w:rsid w:val="005C05C2"/>
    <w:rsid w:val="005C12CD"/>
    <w:rsid w:val="005C23ED"/>
    <w:rsid w:val="005C266F"/>
    <w:rsid w:val="005C2AB4"/>
    <w:rsid w:val="005C3B2A"/>
    <w:rsid w:val="005C4675"/>
    <w:rsid w:val="005C4B3C"/>
    <w:rsid w:val="005C5B76"/>
    <w:rsid w:val="005C6B33"/>
    <w:rsid w:val="005D00E5"/>
    <w:rsid w:val="005D04B9"/>
    <w:rsid w:val="005D109A"/>
    <w:rsid w:val="005D16AA"/>
    <w:rsid w:val="005D199E"/>
    <w:rsid w:val="005D211F"/>
    <w:rsid w:val="005D284E"/>
    <w:rsid w:val="005D30C4"/>
    <w:rsid w:val="005D3311"/>
    <w:rsid w:val="005D4BBE"/>
    <w:rsid w:val="005D70F8"/>
    <w:rsid w:val="005E1138"/>
    <w:rsid w:val="005E20F1"/>
    <w:rsid w:val="005E2454"/>
    <w:rsid w:val="005E3172"/>
    <w:rsid w:val="005E348A"/>
    <w:rsid w:val="005E37F0"/>
    <w:rsid w:val="005E488F"/>
    <w:rsid w:val="005E6158"/>
    <w:rsid w:val="005E6E49"/>
    <w:rsid w:val="005F0A33"/>
    <w:rsid w:val="005F1CB2"/>
    <w:rsid w:val="005F288B"/>
    <w:rsid w:val="005F2B61"/>
    <w:rsid w:val="005F316D"/>
    <w:rsid w:val="005F420C"/>
    <w:rsid w:val="005F4D4F"/>
    <w:rsid w:val="005F66E3"/>
    <w:rsid w:val="005F6A61"/>
    <w:rsid w:val="006004D3"/>
    <w:rsid w:val="00601B79"/>
    <w:rsid w:val="006025D8"/>
    <w:rsid w:val="006037CA"/>
    <w:rsid w:val="006045F8"/>
    <w:rsid w:val="006048C2"/>
    <w:rsid w:val="006056C5"/>
    <w:rsid w:val="00605AB6"/>
    <w:rsid w:val="00605C7C"/>
    <w:rsid w:val="0060614A"/>
    <w:rsid w:val="006063F4"/>
    <w:rsid w:val="00607514"/>
    <w:rsid w:val="00610B88"/>
    <w:rsid w:val="00610ED9"/>
    <w:rsid w:val="00611BD2"/>
    <w:rsid w:val="00613838"/>
    <w:rsid w:val="00615838"/>
    <w:rsid w:val="00616D44"/>
    <w:rsid w:val="00617A2E"/>
    <w:rsid w:val="00620377"/>
    <w:rsid w:val="00620AD0"/>
    <w:rsid w:val="00620E80"/>
    <w:rsid w:val="00621915"/>
    <w:rsid w:val="00622A92"/>
    <w:rsid w:val="006233B1"/>
    <w:rsid w:val="006241D5"/>
    <w:rsid w:val="00624951"/>
    <w:rsid w:val="00624AD6"/>
    <w:rsid w:val="00625129"/>
    <w:rsid w:val="00625789"/>
    <w:rsid w:val="00626E1E"/>
    <w:rsid w:val="00627413"/>
    <w:rsid w:val="00630DB0"/>
    <w:rsid w:val="00631DD6"/>
    <w:rsid w:val="00632201"/>
    <w:rsid w:val="00632A47"/>
    <w:rsid w:val="00634728"/>
    <w:rsid w:val="006349B1"/>
    <w:rsid w:val="00635361"/>
    <w:rsid w:val="006361CE"/>
    <w:rsid w:val="00636B21"/>
    <w:rsid w:val="00641145"/>
    <w:rsid w:val="00642D98"/>
    <w:rsid w:val="00642EFC"/>
    <w:rsid w:val="00643E2B"/>
    <w:rsid w:val="00643ECF"/>
    <w:rsid w:val="00644E37"/>
    <w:rsid w:val="00646386"/>
    <w:rsid w:val="00646525"/>
    <w:rsid w:val="00646625"/>
    <w:rsid w:val="00646AA4"/>
    <w:rsid w:val="00647C0B"/>
    <w:rsid w:val="00652B37"/>
    <w:rsid w:val="006534C9"/>
    <w:rsid w:val="00653FD4"/>
    <w:rsid w:val="006541B9"/>
    <w:rsid w:val="0065529C"/>
    <w:rsid w:val="006553C4"/>
    <w:rsid w:val="00655DCB"/>
    <w:rsid w:val="0065659E"/>
    <w:rsid w:val="006567BB"/>
    <w:rsid w:val="00657826"/>
    <w:rsid w:val="00657AF5"/>
    <w:rsid w:val="00657BA6"/>
    <w:rsid w:val="00660CC4"/>
    <w:rsid w:val="0066105A"/>
    <w:rsid w:val="00661723"/>
    <w:rsid w:val="00665C06"/>
    <w:rsid w:val="00665C5A"/>
    <w:rsid w:val="00666D18"/>
    <w:rsid w:val="0066771C"/>
    <w:rsid w:val="00670E32"/>
    <w:rsid w:val="006710C7"/>
    <w:rsid w:val="0067329B"/>
    <w:rsid w:val="00673B72"/>
    <w:rsid w:val="006743EF"/>
    <w:rsid w:val="00675176"/>
    <w:rsid w:val="006754B0"/>
    <w:rsid w:val="00675C20"/>
    <w:rsid w:val="006762A2"/>
    <w:rsid w:val="00676F26"/>
    <w:rsid w:val="00677528"/>
    <w:rsid w:val="00677536"/>
    <w:rsid w:val="00680919"/>
    <w:rsid w:val="00681012"/>
    <w:rsid w:val="00681D0E"/>
    <w:rsid w:val="00682050"/>
    <w:rsid w:val="006824C9"/>
    <w:rsid w:val="0068265F"/>
    <w:rsid w:val="00682D2E"/>
    <w:rsid w:val="00682ECC"/>
    <w:rsid w:val="00685B62"/>
    <w:rsid w:val="006877A8"/>
    <w:rsid w:val="00690333"/>
    <w:rsid w:val="00691E1A"/>
    <w:rsid w:val="0069235D"/>
    <w:rsid w:val="00693696"/>
    <w:rsid w:val="006940AB"/>
    <w:rsid w:val="00695183"/>
    <w:rsid w:val="00695997"/>
    <w:rsid w:val="00696534"/>
    <w:rsid w:val="006968DC"/>
    <w:rsid w:val="00697EBA"/>
    <w:rsid w:val="006A0F33"/>
    <w:rsid w:val="006A12AF"/>
    <w:rsid w:val="006A1921"/>
    <w:rsid w:val="006A19C8"/>
    <w:rsid w:val="006A3AD3"/>
    <w:rsid w:val="006A3F7D"/>
    <w:rsid w:val="006A437E"/>
    <w:rsid w:val="006A5FB2"/>
    <w:rsid w:val="006A68C3"/>
    <w:rsid w:val="006A778C"/>
    <w:rsid w:val="006B083F"/>
    <w:rsid w:val="006B29E9"/>
    <w:rsid w:val="006B3E57"/>
    <w:rsid w:val="006B4A00"/>
    <w:rsid w:val="006B5923"/>
    <w:rsid w:val="006B60DA"/>
    <w:rsid w:val="006B6A82"/>
    <w:rsid w:val="006C06A7"/>
    <w:rsid w:val="006C0AA4"/>
    <w:rsid w:val="006C0CD0"/>
    <w:rsid w:val="006C0F03"/>
    <w:rsid w:val="006C158E"/>
    <w:rsid w:val="006C182D"/>
    <w:rsid w:val="006C26D1"/>
    <w:rsid w:val="006C3304"/>
    <w:rsid w:val="006C3363"/>
    <w:rsid w:val="006C64DE"/>
    <w:rsid w:val="006C6824"/>
    <w:rsid w:val="006C7FA7"/>
    <w:rsid w:val="006D10AB"/>
    <w:rsid w:val="006D1441"/>
    <w:rsid w:val="006D213C"/>
    <w:rsid w:val="006D376B"/>
    <w:rsid w:val="006D3D86"/>
    <w:rsid w:val="006D57F7"/>
    <w:rsid w:val="006E0BAC"/>
    <w:rsid w:val="006E1001"/>
    <w:rsid w:val="006E1013"/>
    <w:rsid w:val="006E1AE5"/>
    <w:rsid w:val="006E1F6D"/>
    <w:rsid w:val="006E29E8"/>
    <w:rsid w:val="006E2F7B"/>
    <w:rsid w:val="006E30A8"/>
    <w:rsid w:val="006E419E"/>
    <w:rsid w:val="006E4762"/>
    <w:rsid w:val="006E5632"/>
    <w:rsid w:val="006E682A"/>
    <w:rsid w:val="006E70DB"/>
    <w:rsid w:val="006E7508"/>
    <w:rsid w:val="006F000B"/>
    <w:rsid w:val="006F118E"/>
    <w:rsid w:val="006F142E"/>
    <w:rsid w:val="006F203D"/>
    <w:rsid w:val="006F3779"/>
    <w:rsid w:val="006F4C2B"/>
    <w:rsid w:val="006F4DA3"/>
    <w:rsid w:val="006F5D0F"/>
    <w:rsid w:val="00701065"/>
    <w:rsid w:val="007010BB"/>
    <w:rsid w:val="007019E2"/>
    <w:rsid w:val="00704413"/>
    <w:rsid w:val="007044A7"/>
    <w:rsid w:val="00704D8E"/>
    <w:rsid w:val="00706061"/>
    <w:rsid w:val="0070698D"/>
    <w:rsid w:val="007075CF"/>
    <w:rsid w:val="00707A43"/>
    <w:rsid w:val="007110DE"/>
    <w:rsid w:val="00711BDA"/>
    <w:rsid w:val="007129AA"/>
    <w:rsid w:val="00713B33"/>
    <w:rsid w:val="00713BE0"/>
    <w:rsid w:val="00713C0E"/>
    <w:rsid w:val="00714436"/>
    <w:rsid w:val="00715C60"/>
    <w:rsid w:val="00716955"/>
    <w:rsid w:val="00717BB7"/>
    <w:rsid w:val="0072014B"/>
    <w:rsid w:val="00721CCF"/>
    <w:rsid w:val="00721FB1"/>
    <w:rsid w:val="0072227B"/>
    <w:rsid w:val="00723FCF"/>
    <w:rsid w:val="00725C93"/>
    <w:rsid w:val="00726D7E"/>
    <w:rsid w:val="00727059"/>
    <w:rsid w:val="0072755B"/>
    <w:rsid w:val="0072794B"/>
    <w:rsid w:val="00730891"/>
    <w:rsid w:val="0073110A"/>
    <w:rsid w:val="0073212E"/>
    <w:rsid w:val="00732911"/>
    <w:rsid w:val="00732A69"/>
    <w:rsid w:val="007338D3"/>
    <w:rsid w:val="007349B6"/>
    <w:rsid w:val="00734D70"/>
    <w:rsid w:val="007351BE"/>
    <w:rsid w:val="00735C2D"/>
    <w:rsid w:val="007365FD"/>
    <w:rsid w:val="00736C73"/>
    <w:rsid w:val="00736E97"/>
    <w:rsid w:val="00736F35"/>
    <w:rsid w:val="00737A3E"/>
    <w:rsid w:val="00737D89"/>
    <w:rsid w:val="00740DDC"/>
    <w:rsid w:val="00742B40"/>
    <w:rsid w:val="007447A5"/>
    <w:rsid w:val="00745BCA"/>
    <w:rsid w:val="00745EF6"/>
    <w:rsid w:val="0074613D"/>
    <w:rsid w:val="00746678"/>
    <w:rsid w:val="00746A9B"/>
    <w:rsid w:val="00747999"/>
    <w:rsid w:val="00747FC9"/>
    <w:rsid w:val="0075004E"/>
    <w:rsid w:val="00750214"/>
    <w:rsid w:val="007509E7"/>
    <w:rsid w:val="00750E93"/>
    <w:rsid w:val="00750FF9"/>
    <w:rsid w:val="0075156D"/>
    <w:rsid w:val="007537AD"/>
    <w:rsid w:val="0075580B"/>
    <w:rsid w:val="007558C1"/>
    <w:rsid w:val="007558D9"/>
    <w:rsid w:val="00755EE2"/>
    <w:rsid w:val="00756B50"/>
    <w:rsid w:val="00756E0D"/>
    <w:rsid w:val="00760202"/>
    <w:rsid w:val="00760D3D"/>
    <w:rsid w:val="0076111B"/>
    <w:rsid w:val="00761175"/>
    <w:rsid w:val="00761694"/>
    <w:rsid w:val="0076184F"/>
    <w:rsid w:val="00762A58"/>
    <w:rsid w:val="00762A62"/>
    <w:rsid w:val="00762C3B"/>
    <w:rsid w:val="007636FD"/>
    <w:rsid w:val="00763823"/>
    <w:rsid w:val="00766729"/>
    <w:rsid w:val="007703D8"/>
    <w:rsid w:val="00770580"/>
    <w:rsid w:val="00770B4D"/>
    <w:rsid w:val="00770FAF"/>
    <w:rsid w:val="00772879"/>
    <w:rsid w:val="007736D7"/>
    <w:rsid w:val="007738AD"/>
    <w:rsid w:val="00775B23"/>
    <w:rsid w:val="00775B6B"/>
    <w:rsid w:val="00775DBB"/>
    <w:rsid w:val="00775F6A"/>
    <w:rsid w:val="007765F1"/>
    <w:rsid w:val="00776770"/>
    <w:rsid w:val="00776ABA"/>
    <w:rsid w:val="0077785C"/>
    <w:rsid w:val="00777DC1"/>
    <w:rsid w:val="0078195F"/>
    <w:rsid w:val="007819CA"/>
    <w:rsid w:val="0078205E"/>
    <w:rsid w:val="00782DB0"/>
    <w:rsid w:val="007836DB"/>
    <w:rsid w:val="0078450D"/>
    <w:rsid w:val="00786DC7"/>
    <w:rsid w:val="00787E38"/>
    <w:rsid w:val="00787F02"/>
    <w:rsid w:val="00791475"/>
    <w:rsid w:val="007917A9"/>
    <w:rsid w:val="00791A12"/>
    <w:rsid w:val="00792128"/>
    <w:rsid w:val="00792D38"/>
    <w:rsid w:val="007931D0"/>
    <w:rsid w:val="00793BA2"/>
    <w:rsid w:val="00794AAB"/>
    <w:rsid w:val="00794F80"/>
    <w:rsid w:val="007959C5"/>
    <w:rsid w:val="007964CA"/>
    <w:rsid w:val="00796B6E"/>
    <w:rsid w:val="00797BA0"/>
    <w:rsid w:val="00797BF5"/>
    <w:rsid w:val="00797F3A"/>
    <w:rsid w:val="007A0343"/>
    <w:rsid w:val="007A3618"/>
    <w:rsid w:val="007A379E"/>
    <w:rsid w:val="007A460E"/>
    <w:rsid w:val="007A5BA4"/>
    <w:rsid w:val="007A5FCC"/>
    <w:rsid w:val="007A651E"/>
    <w:rsid w:val="007A66C8"/>
    <w:rsid w:val="007B0250"/>
    <w:rsid w:val="007B09D3"/>
    <w:rsid w:val="007B14C2"/>
    <w:rsid w:val="007B3699"/>
    <w:rsid w:val="007B4211"/>
    <w:rsid w:val="007B42FB"/>
    <w:rsid w:val="007B5752"/>
    <w:rsid w:val="007B5BE6"/>
    <w:rsid w:val="007B7392"/>
    <w:rsid w:val="007C011D"/>
    <w:rsid w:val="007C0850"/>
    <w:rsid w:val="007C095B"/>
    <w:rsid w:val="007C0D75"/>
    <w:rsid w:val="007C2D50"/>
    <w:rsid w:val="007C2EA1"/>
    <w:rsid w:val="007C2F8D"/>
    <w:rsid w:val="007C3C94"/>
    <w:rsid w:val="007C3E25"/>
    <w:rsid w:val="007C433D"/>
    <w:rsid w:val="007C43AE"/>
    <w:rsid w:val="007C4C32"/>
    <w:rsid w:val="007C57EC"/>
    <w:rsid w:val="007C7C46"/>
    <w:rsid w:val="007D06BB"/>
    <w:rsid w:val="007D08DC"/>
    <w:rsid w:val="007D128D"/>
    <w:rsid w:val="007D15D5"/>
    <w:rsid w:val="007D1D99"/>
    <w:rsid w:val="007D25EA"/>
    <w:rsid w:val="007D2AC8"/>
    <w:rsid w:val="007D2D64"/>
    <w:rsid w:val="007D440A"/>
    <w:rsid w:val="007D4F85"/>
    <w:rsid w:val="007D54D7"/>
    <w:rsid w:val="007D5507"/>
    <w:rsid w:val="007D716E"/>
    <w:rsid w:val="007D7215"/>
    <w:rsid w:val="007D7570"/>
    <w:rsid w:val="007D7E14"/>
    <w:rsid w:val="007D7F13"/>
    <w:rsid w:val="007E060E"/>
    <w:rsid w:val="007E13DA"/>
    <w:rsid w:val="007E1B3C"/>
    <w:rsid w:val="007E1D79"/>
    <w:rsid w:val="007E1E1B"/>
    <w:rsid w:val="007E2523"/>
    <w:rsid w:val="007E2D57"/>
    <w:rsid w:val="007E43B9"/>
    <w:rsid w:val="007E5EC8"/>
    <w:rsid w:val="007F1B51"/>
    <w:rsid w:val="007F1E44"/>
    <w:rsid w:val="007F37DF"/>
    <w:rsid w:val="007F3828"/>
    <w:rsid w:val="007F4EF0"/>
    <w:rsid w:val="007F59D3"/>
    <w:rsid w:val="007F7C95"/>
    <w:rsid w:val="008006AE"/>
    <w:rsid w:val="00800E8C"/>
    <w:rsid w:val="00801503"/>
    <w:rsid w:val="00801654"/>
    <w:rsid w:val="00801834"/>
    <w:rsid w:val="008037CA"/>
    <w:rsid w:val="00803C04"/>
    <w:rsid w:val="00804517"/>
    <w:rsid w:val="008046FD"/>
    <w:rsid w:val="00806173"/>
    <w:rsid w:val="00806CC6"/>
    <w:rsid w:val="008112CC"/>
    <w:rsid w:val="00811552"/>
    <w:rsid w:val="0081200C"/>
    <w:rsid w:val="00812431"/>
    <w:rsid w:val="00812584"/>
    <w:rsid w:val="00812B08"/>
    <w:rsid w:val="00812F17"/>
    <w:rsid w:val="00815768"/>
    <w:rsid w:val="008159AC"/>
    <w:rsid w:val="00816A5F"/>
    <w:rsid w:val="00816CB3"/>
    <w:rsid w:val="00817213"/>
    <w:rsid w:val="00821C8F"/>
    <w:rsid w:val="00822630"/>
    <w:rsid w:val="008231D2"/>
    <w:rsid w:val="00823768"/>
    <w:rsid w:val="00824CAB"/>
    <w:rsid w:val="008259F6"/>
    <w:rsid w:val="0082615D"/>
    <w:rsid w:val="008273BF"/>
    <w:rsid w:val="008276F2"/>
    <w:rsid w:val="00827BD9"/>
    <w:rsid w:val="00830020"/>
    <w:rsid w:val="008305E0"/>
    <w:rsid w:val="008306E8"/>
    <w:rsid w:val="00830E94"/>
    <w:rsid w:val="00831893"/>
    <w:rsid w:val="00831B71"/>
    <w:rsid w:val="0083249A"/>
    <w:rsid w:val="008345FA"/>
    <w:rsid w:val="00835143"/>
    <w:rsid w:val="008360DD"/>
    <w:rsid w:val="0083621E"/>
    <w:rsid w:val="00836B94"/>
    <w:rsid w:val="00837196"/>
    <w:rsid w:val="00837358"/>
    <w:rsid w:val="008374BC"/>
    <w:rsid w:val="008376BE"/>
    <w:rsid w:val="00841887"/>
    <w:rsid w:val="00841AE5"/>
    <w:rsid w:val="00842059"/>
    <w:rsid w:val="008422B9"/>
    <w:rsid w:val="00842748"/>
    <w:rsid w:val="00843334"/>
    <w:rsid w:val="0084355A"/>
    <w:rsid w:val="00843A81"/>
    <w:rsid w:val="00843DDA"/>
    <w:rsid w:val="00844B0F"/>
    <w:rsid w:val="00847590"/>
    <w:rsid w:val="00850EDF"/>
    <w:rsid w:val="00850FDC"/>
    <w:rsid w:val="00851126"/>
    <w:rsid w:val="008524D1"/>
    <w:rsid w:val="00852646"/>
    <w:rsid w:val="00852727"/>
    <w:rsid w:val="0085378B"/>
    <w:rsid w:val="00855C81"/>
    <w:rsid w:val="00855D87"/>
    <w:rsid w:val="0085630C"/>
    <w:rsid w:val="00861602"/>
    <w:rsid w:val="00862325"/>
    <w:rsid w:val="008636D1"/>
    <w:rsid w:val="0086380D"/>
    <w:rsid w:val="008650BB"/>
    <w:rsid w:val="008668E1"/>
    <w:rsid w:val="0086715E"/>
    <w:rsid w:val="0087073A"/>
    <w:rsid w:val="00871B10"/>
    <w:rsid w:val="00871C03"/>
    <w:rsid w:val="00874B94"/>
    <w:rsid w:val="00875272"/>
    <w:rsid w:val="008766FC"/>
    <w:rsid w:val="00876E73"/>
    <w:rsid w:val="00877581"/>
    <w:rsid w:val="0088083F"/>
    <w:rsid w:val="00880D0E"/>
    <w:rsid w:val="0088194D"/>
    <w:rsid w:val="00882F69"/>
    <w:rsid w:val="00883279"/>
    <w:rsid w:val="00883547"/>
    <w:rsid w:val="00883B48"/>
    <w:rsid w:val="00883DC4"/>
    <w:rsid w:val="00884BA5"/>
    <w:rsid w:val="00884DF7"/>
    <w:rsid w:val="00885F8A"/>
    <w:rsid w:val="0088704C"/>
    <w:rsid w:val="008903F4"/>
    <w:rsid w:val="00890672"/>
    <w:rsid w:val="00890830"/>
    <w:rsid w:val="0089371F"/>
    <w:rsid w:val="00894731"/>
    <w:rsid w:val="0089607C"/>
    <w:rsid w:val="00896499"/>
    <w:rsid w:val="00896813"/>
    <w:rsid w:val="008A0701"/>
    <w:rsid w:val="008A1343"/>
    <w:rsid w:val="008A1BB2"/>
    <w:rsid w:val="008A1FE2"/>
    <w:rsid w:val="008A2492"/>
    <w:rsid w:val="008A31B2"/>
    <w:rsid w:val="008A5694"/>
    <w:rsid w:val="008A6A31"/>
    <w:rsid w:val="008A6E46"/>
    <w:rsid w:val="008B16C7"/>
    <w:rsid w:val="008B3806"/>
    <w:rsid w:val="008B3F6D"/>
    <w:rsid w:val="008B4F97"/>
    <w:rsid w:val="008B5369"/>
    <w:rsid w:val="008B6550"/>
    <w:rsid w:val="008B7E5F"/>
    <w:rsid w:val="008C13AF"/>
    <w:rsid w:val="008C14AF"/>
    <w:rsid w:val="008C2254"/>
    <w:rsid w:val="008C45BA"/>
    <w:rsid w:val="008C51E6"/>
    <w:rsid w:val="008C5DEA"/>
    <w:rsid w:val="008C5F1F"/>
    <w:rsid w:val="008C6DC7"/>
    <w:rsid w:val="008C7B9E"/>
    <w:rsid w:val="008C7ED7"/>
    <w:rsid w:val="008D14F3"/>
    <w:rsid w:val="008D27D0"/>
    <w:rsid w:val="008D2DCB"/>
    <w:rsid w:val="008D379C"/>
    <w:rsid w:val="008D50C4"/>
    <w:rsid w:val="008D7908"/>
    <w:rsid w:val="008E07F9"/>
    <w:rsid w:val="008E0C2D"/>
    <w:rsid w:val="008E25B4"/>
    <w:rsid w:val="008E352D"/>
    <w:rsid w:val="008E3BEB"/>
    <w:rsid w:val="008E440B"/>
    <w:rsid w:val="008E5472"/>
    <w:rsid w:val="008E6AAC"/>
    <w:rsid w:val="008F04B4"/>
    <w:rsid w:val="008F0FC3"/>
    <w:rsid w:val="008F1D87"/>
    <w:rsid w:val="008F20E8"/>
    <w:rsid w:val="008F3BE9"/>
    <w:rsid w:val="008F4135"/>
    <w:rsid w:val="008F5604"/>
    <w:rsid w:val="008F68E0"/>
    <w:rsid w:val="008F7992"/>
    <w:rsid w:val="008F79BB"/>
    <w:rsid w:val="00900F13"/>
    <w:rsid w:val="00901521"/>
    <w:rsid w:val="009026BC"/>
    <w:rsid w:val="009027BC"/>
    <w:rsid w:val="00902830"/>
    <w:rsid w:val="00902838"/>
    <w:rsid w:val="0090289A"/>
    <w:rsid w:val="009037C1"/>
    <w:rsid w:val="009041E8"/>
    <w:rsid w:val="00904BB5"/>
    <w:rsid w:val="00904E98"/>
    <w:rsid w:val="009056CA"/>
    <w:rsid w:val="009071CA"/>
    <w:rsid w:val="00907CA0"/>
    <w:rsid w:val="00907F8B"/>
    <w:rsid w:val="00910DEC"/>
    <w:rsid w:val="0091148F"/>
    <w:rsid w:val="009129DC"/>
    <w:rsid w:val="00913B26"/>
    <w:rsid w:val="00914045"/>
    <w:rsid w:val="0091429E"/>
    <w:rsid w:val="00916819"/>
    <w:rsid w:val="00916968"/>
    <w:rsid w:val="009169EB"/>
    <w:rsid w:val="00916E6B"/>
    <w:rsid w:val="00916F44"/>
    <w:rsid w:val="00917B2C"/>
    <w:rsid w:val="009201C8"/>
    <w:rsid w:val="009201D3"/>
    <w:rsid w:val="009219CC"/>
    <w:rsid w:val="00921AD0"/>
    <w:rsid w:val="009235D6"/>
    <w:rsid w:val="009260DA"/>
    <w:rsid w:val="00926F69"/>
    <w:rsid w:val="00930748"/>
    <w:rsid w:val="009307A2"/>
    <w:rsid w:val="00931027"/>
    <w:rsid w:val="0093161F"/>
    <w:rsid w:val="009319F6"/>
    <w:rsid w:val="00931ACE"/>
    <w:rsid w:val="00931DFC"/>
    <w:rsid w:val="00932665"/>
    <w:rsid w:val="009327B1"/>
    <w:rsid w:val="00933B8D"/>
    <w:rsid w:val="00933BB2"/>
    <w:rsid w:val="00934795"/>
    <w:rsid w:val="00934DF0"/>
    <w:rsid w:val="009402A3"/>
    <w:rsid w:val="00940F93"/>
    <w:rsid w:val="00941A62"/>
    <w:rsid w:val="00941CF3"/>
    <w:rsid w:val="0094319F"/>
    <w:rsid w:val="00943B58"/>
    <w:rsid w:val="00943D1F"/>
    <w:rsid w:val="00944416"/>
    <w:rsid w:val="00944682"/>
    <w:rsid w:val="009462EB"/>
    <w:rsid w:val="0094642F"/>
    <w:rsid w:val="00946983"/>
    <w:rsid w:val="00946A49"/>
    <w:rsid w:val="00946E1B"/>
    <w:rsid w:val="0094763E"/>
    <w:rsid w:val="00947B48"/>
    <w:rsid w:val="009502D1"/>
    <w:rsid w:val="00952052"/>
    <w:rsid w:val="00952202"/>
    <w:rsid w:val="009539E8"/>
    <w:rsid w:val="0095431B"/>
    <w:rsid w:val="00955230"/>
    <w:rsid w:val="009560DD"/>
    <w:rsid w:val="00956FF1"/>
    <w:rsid w:val="00957C8A"/>
    <w:rsid w:val="0096035B"/>
    <w:rsid w:val="00961760"/>
    <w:rsid w:val="0096186F"/>
    <w:rsid w:val="00963D4E"/>
    <w:rsid w:val="00963F4C"/>
    <w:rsid w:val="00964A6C"/>
    <w:rsid w:val="00965552"/>
    <w:rsid w:val="00965749"/>
    <w:rsid w:val="0096626E"/>
    <w:rsid w:val="009665FC"/>
    <w:rsid w:val="00967BC7"/>
    <w:rsid w:val="00970580"/>
    <w:rsid w:val="00970B25"/>
    <w:rsid w:val="00970B94"/>
    <w:rsid w:val="009714AC"/>
    <w:rsid w:val="0097228E"/>
    <w:rsid w:val="009729AB"/>
    <w:rsid w:val="0097324D"/>
    <w:rsid w:val="00973D63"/>
    <w:rsid w:val="0097599C"/>
    <w:rsid w:val="00975ED2"/>
    <w:rsid w:val="00976319"/>
    <w:rsid w:val="009767E9"/>
    <w:rsid w:val="00980B86"/>
    <w:rsid w:val="00982C41"/>
    <w:rsid w:val="00983011"/>
    <w:rsid w:val="009832ED"/>
    <w:rsid w:val="009842F8"/>
    <w:rsid w:val="0098487F"/>
    <w:rsid w:val="009856F4"/>
    <w:rsid w:val="00985F64"/>
    <w:rsid w:val="009861B3"/>
    <w:rsid w:val="00986ADB"/>
    <w:rsid w:val="00987B25"/>
    <w:rsid w:val="00990F0C"/>
    <w:rsid w:val="00991297"/>
    <w:rsid w:val="00991788"/>
    <w:rsid w:val="009918AE"/>
    <w:rsid w:val="0099221B"/>
    <w:rsid w:val="00992BFD"/>
    <w:rsid w:val="00993B6B"/>
    <w:rsid w:val="00993E94"/>
    <w:rsid w:val="00994602"/>
    <w:rsid w:val="00994CF8"/>
    <w:rsid w:val="009956B6"/>
    <w:rsid w:val="0099645A"/>
    <w:rsid w:val="00997222"/>
    <w:rsid w:val="009972F6"/>
    <w:rsid w:val="00997340"/>
    <w:rsid w:val="0099773E"/>
    <w:rsid w:val="009A0E38"/>
    <w:rsid w:val="009A1000"/>
    <w:rsid w:val="009A1439"/>
    <w:rsid w:val="009A358E"/>
    <w:rsid w:val="009A365A"/>
    <w:rsid w:val="009A4710"/>
    <w:rsid w:val="009A59BC"/>
    <w:rsid w:val="009A6A80"/>
    <w:rsid w:val="009A6BA1"/>
    <w:rsid w:val="009A6D32"/>
    <w:rsid w:val="009A7F37"/>
    <w:rsid w:val="009B17CC"/>
    <w:rsid w:val="009B1F97"/>
    <w:rsid w:val="009B2A2A"/>
    <w:rsid w:val="009B2AB6"/>
    <w:rsid w:val="009B308D"/>
    <w:rsid w:val="009B465A"/>
    <w:rsid w:val="009B47FA"/>
    <w:rsid w:val="009B5009"/>
    <w:rsid w:val="009B54B7"/>
    <w:rsid w:val="009B5A42"/>
    <w:rsid w:val="009B6124"/>
    <w:rsid w:val="009B7B54"/>
    <w:rsid w:val="009C0309"/>
    <w:rsid w:val="009C1ADE"/>
    <w:rsid w:val="009C1AF8"/>
    <w:rsid w:val="009C1E2B"/>
    <w:rsid w:val="009C48B8"/>
    <w:rsid w:val="009C4AD9"/>
    <w:rsid w:val="009C6A16"/>
    <w:rsid w:val="009C6A71"/>
    <w:rsid w:val="009C721E"/>
    <w:rsid w:val="009C77AB"/>
    <w:rsid w:val="009D02C4"/>
    <w:rsid w:val="009D0AC6"/>
    <w:rsid w:val="009D202B"/>
    <w:rsid w:val="009D2267"/>
    <w:rsid w:val="009D2566"/>
    <w:rsid w:val="009D4939"/>
    <w:rsid w:val="009D5396"/>
    <w:rsid w:val="009D6537"/>
    <w:rsid w:val="009D67B6"/>
    <w:rsid w:val="009D6D22"/>
    <w:rsid w:val="009D6DDD"/>
    <w:rsid w:val="009D6E86"/>
    <w:rsid w:val="009E1D29"/>
    <w:rsid w:val="009E39B9"/>
    <w:rsid w:val="009E3B41"/>
    <w:rsid w:val="009E4030"/>
    <w:rsid w:val="009E42BB"/>
    <w:rsid w:val="009E55B1"/>
    <w:rsid w:val="009E5D46"/>
    <w:rsid w:val="009E6BFE"/>
    <w:rsid w:val="009E6CB2"/>
    <w:rsid w:val="009E6F73"/>
    <w:rsid w:val="009E6FFA"/>
    <w:rsid w:val="009E7D79"/>
    <w:rsid w:val="009F0CD7"/>
    <w:rsid w:val="009F0F7D"/>
    <w:rsid w:val="009F1B0F"/>
    <w:rsid w:val="009F237F"/>
    <w:rsid w:val="009F2C16"/>
    <w:rsid w:val="009F2EAA"/>
    <w:rsid w:val="009F5159"/>
    <w:rsid w:val="009F52B8"/>
    <w:rsid w:val="009F5B5F"/>
    <w:rsid w:val="009F643D"/>
    <w:rsid w:val="00A006DD"/>
    <w:rsid w:val="00A00FF8"/>
    <w:rsid w:val="00A012E2"/>
    <w:rsid w:val="00A01C7A"/>
    <w:rsid w:val="00A02D17"/>
    <w:rsid w:val="00A0392A"/>
    <w:rsid w:val="00A05A3D"/>
    <w:rsid w:val="00A07CC2"/>
    <w:rsid w:val="00A10113"/>
    <w:rsid w:val="00A10D7C"/>
    <w:rsid w:val="00A110D4"/>
    <w:rsid w:val="00A1274E"/>
    <w:rsid w:val="00A1280C"/>
    <w:rsid w:val="00A141A4"/>
    <w:rsid w:val="00A14C20"/>
    <w:rsid w:val="00A15C46"/>
    <w:rsid w:val="00A1701B"/>
    <w:rsid w:val="00A20A53"/>
    <w:rsid w:val="00A22145"/>
    <w:rsid w:val="00A22778"/>
    <w:rsid w:val="00A22A41"/>
    <w:rsid w:val="00A24663"/>
    <w:rsid w:val="00A24686"/>
    <w:rsid w:val="00A25ADD"/>
    <w:rsid w:val="00A25C50"/>
    <w:rsid w:val="00A268D2"/>
    <w:rsid w:val="00A27CEA"/>
    <w:rsid w:val="00A30847"/>
    <w:rsid w:val="00A31934"/>
    <w:rsid w:val="00A31D43"/>
    <w:rsid w:val="00A32671"/>
    <w:rsid w:val="00A33284"/>
    <w:rsid w:val="00A350A6"/>
    <w:rsid w:val="00A40662"/>
    <w:rsid w:val="00A41FA4"/>
    <w:rsid w:val="00A426CC"/>
    <w:rsid w:val="00A43460"/>
    <w:rsid w:val="00A436A7"/>
    <w:rsid w:val="00A44B56"/>
    <w:rsid w:val="00A45BE8"/>
    <w:rsid w:val="00A46404"/>
    <w:rsid w:val="00A47586"/>
    <w:rsid w:val="00A5062A"/>
    <w:rsid w:val="00A52507"/>
    <w:rsid w:val="00A54E47"/>
    <w:rsid w:val="00A55640"/>
    <w:rsid w:val="00A55CFE"/>
    <w:rsid w:val="00A55F6A"/>
    <w:rsid w:val="00A56020"/>
    <w:rsid w:val="00A56EB6"/>
    <w:rsid w:val="00A57326"/>
    <w:rsid w:val="00A579E5"/>
    <w:rsid w:val="00A60FC6"/>
    <w:rsid w:val="00A62065"/>
    <w:rsid w:val="00A62BAA"/>
    <w:rsid w:val="00A6376E"/>
    <w:rsid w:val="00A643D0"/>
    <w:rsid w:val="00A644E3"/>
    <w:rsid w:val="00A66651"/>
    <w:rsid w:val="00A66B0B"/>
    <w:rsid w:val="00A66D17"/>
    <w:rsid w:val="00A66FC6"/>
    <w:rsid w:val="00A6771D"/>
    <w:rsid w:val="00A702CB"/>
    <w:rsid w:val="00A7040F"/>
    <w:rsid w:val="00A71094"/>
    <w:rsid w:val="00A722A8"/>
    <w:rsid w:val="00A72300"/>
    <w:rsid w:val="00A72A44"/>
    <w:rsid w:val="00A73743"/>
    <w:rsid w:val="00A73F9F"/>
    <w:rsid w:val="00A77701"/>
    <w:rsid w:val="00A80936"/>
    <w:rsid w:val="00A80A9F"/>
    <w:rsid w:val="00A812B9"/>
    <w:rsid w:val="00A81491"/>
    <w:rsid w:val="00A8371D"/>
    <w:rsid w:val="00A844F8"/>
    <w:rsid w:val="00A846AC"/>
    <w:rsid w:val="00A84825"/>
    <w:rsid w:val="00A84F35"/>
    <w:rsid w:val="00A8502C"/>
    <w:rsid w:val="00A85449"/>
    <w:rsid w:val="00A873ED"/>
    <w:rsid w:val="00A903C2"/>
    <w:rsid w:val="00A917B5"/>
    <w:rsid w:val="00A92930"/>
    <w:rsid w:val="00A932E3"/>
    <w:rsid w:val="00A93A08"/>
    <w:rsid w:val="00A941A3"/>
    <w:rsid w:val="00A95419"/>
    <w:rsid w:val="00A95B93"/>
    <w:rsid w:val="00A971E2"/>
    <w:rsid w:val="00AA1BA6"/>
    <w:rsid w:val="00AA2C46"/>
    <w:rsid w:val="00AA3D89"/>
    <w:rsid w:val="00AA4578"/>
    <w:rsid w:val="00AA4589"/>
    <w:rsid w:val="00AA52AE"/>
    <w:rsid w:val="00AA6C92"/>
    <w:rsid w:val="00AA72A3"/>
    <w:rsid w:val="00AA765B"/>
    <w:rsid w:val="00AB1CE9"/>
    <w:rsid w:val="00AB1ED7"/>
    <w:rsid w:val="00AB22F0"/>
    <w:rsid w:val="00AB2C21"/>
    <w:rsid w:val="00AB2C47"/>
    <w:rsid w:val="00AB2FC2"/>
    <w:rsid w:val="00AB3760"/>
    <w:rsid w:val="00AB38CF"/>
    <w:rsid w:val="00AB4445"/>
    <w:rsid w:val="00AB6370"/>
    <w:rsid w:val="00AB7160"/>
    <w:rsid w:val="00AB77FB"/>
    <w:rsid w:val="00AB79A4"/>
    <w:rsid w:val="00AB7BAF"/>
    <w:rsid w:val="00AC0236"/>
    <w:rsid w:val="00AC0C94"/>
    <w:rsid w:val="00AC16C0"/>
    <w:rsid w:val="00AC18FA"/>
    <w:rsid w:val="00AC229B"/>
    <w:rsid w:val="00AC479C"/>
    <w:rsid w:val="00AC7B49"/>
    <w:rsid w:val="00AD0431"/>
    <w:rsid w:val="00AD04E8"/>
    <w:rsid w:val="00AD0FF5"/>
    <w:rsid w:val="00AD1C58"/>
    <w:rsid w:val="00AD2F19"/>
    <w:rsid w:val="00AD53D4"/>
    <w:rsid w:val="00AD5D82"/>
    <w:rsid w:val="00AD639A"/>
    <w:rsid w:val="00AD6633"/>
    <w:rsid w:val="00AD66DD"/>
    <w:rsid w:val="00AD7CF2"/>
    <w:rsid w:val="00AE007F"/>
    <w:rsid w:val="00AE0819"/>
    <w:rsid w:val="00AE2028"/>
    <w:rsid w:val="00AE2592"/>
    <w:rsid w:val="00AE39E4"/>
    <w:rsid w:val="00AE4360"/>
    <w:rsid w:val="00AE5DA2"/>
    <w:rsid w:val="00AE6676"/>
    <w:rsid w:val="00AE7810"/>
    <w:rsid w:val="00AF04FB"/>
    <w:rsid w:val="00AF0818"/>
    <w:rsid w:val="00AF090F"/>
    <w:rsid w:val="00AF0D4D"/>
    <w:rsid w:val="00AF11C5"/>
    <w:rsid w:val="00AF15A3"/>
    <w:rsid w:val="00AF2597"/>
    <w:rsid w:val="00AF2EFD"/>
    <w:rsid w:val="00AF506F"/>
    <w:rsid w:val="00AF6828"/>
    <w:rsid w:val="00AF6957"/>
    <w:rsid w:val="00AF6FE6"/>
    <w:rsid w:val="00AF713F"/>
    <w:rsid w:val="00AF7CAA"/>
    <w:rsid w:val="00B02E3B"/>
    <w:rsid w:val="00B02E83"/>
    <w:rsid w:val="00B03677"/>
    <w:rsid w:val="00B04A74"/>
    <w:rsid w:val="00B04AF3"/>
    <w:rsid w:val="00B058DC"/>
    <w:rsid w:val="00B05984"/>
    <w:rsid w:val="00B05B1F"/>
    <w:rsid w:val="00B05B5A"/>
    <w:rsid w:val="00B06632"/>
    <w:rsid w:val="00B066FC"/>
    <w:rsid w:val="00B06D08"/>
    <w:rsid w:val="00B07B0D"/>
    <w:rsid w:val="00B07B8B"/>
    <w:rsid w:val="00B10DB6"/>
    <w:rsid w:val="00B122B0"/>
    <w:rsid w:val="00B135E5"/>
    <w:rsid w:val="00B14198"/>
    <w:rsid w:val="00B151E8"/>
    <w:rsid w:val="00B16898"/>
    <w:rsid w:val="00B173A3"/>
    <w:rsid w:val="00B17524"/>
    <w:rsid w:val="00B21761"/>
    <w:rsid w:val="00B217DE"/>
    <w:rsid w:val="00B2182C"/>
    <w:rsid w:val="00B22288"/>
    <w:rsid w:val="00B222CA"/>
    <w:rsid w:val="00B23CF1"/>
    <w:rsid w:val="00B24BD3"/>
    <w:rsid w:val="00B24EF7"/>
    <w:rsid w:val="00B25438"/>
    <w:rsid w:val="00B2662B"/>
    <w:rsid w:val="00B26F52"/>
    <w:rsid w:val="00B279C5"/>
    <w:rsid w:val="00B31000"/>
    <w:rsid w:val="00B312E8"/>
    <w:rsid w:val="00B3295B"/>
    <w:rsid w:val="00B33E78"/>
    <w:rsid w:val="00B34507"/>
    <w:rsid w:val="00B34CF9"/>
    <w:rsid w:val="00B35287"/>
    <w:rsid w:val="00B36115"/>
    <w:rsid w:val="00B36C49"/>
    <w:rsid w:val="00B36CD5"/>
    <w:rsid w:val="00B37217"/>
    <w:rsid w:val="00B4028E"/>
    <w:rsid w:val="00B40481"/>
    <w:rsid w:val="00B4187B"/>
    <w:rsid w:val="00B41E2F"/>
    <w:rsid w:val="00B4374D"/>
    <w:rsid w:val="00B43856"/>
    <w:rsid w:val="00B43BD1"/>
    <w:rsid w:val="00B44167"/>
    <w:rsid w:val="00B451C4"/>
    <w:rsid w:val="00B451F5"/>
    <w:rsid w:val="00B4596B"/>
    <w:rsid w:val="00B45C2C"/>
    <w:rsid w:val="00B46434"/>
    <w:rsid w:val="00B472ED"/>
    <w:rsid w:val="00B47C61"/>
    <w:rsid w:val="00B47C7B"/>
    <w:rsid w:val="00B50952"/>
    <w:rsid w:val="00B511E6"/>
    <w:rsid w:val="00B51BB4"/>
    <w:rsid w:val="00B520DF"/>
    <w:rsid w:val="00B5243B"/>
    <w:rsid w:val="00B527E9"/>
    <w:rsid w:val="00B53350"/>
    <w:rsid w:val="00B54471"/>
    <w:rsid w:val="00B56431"/>
    <w:rsid w:val="00B5789F"/>
    <w:rsid w:val="00B6155A"/>
    <w:rsid w:val="00B619F0"/>
    <w:rsid w:val="00B62734"/>
    <w:rsid w:val="00B633FA"/>
    <w:rsid w:val="00B63FA5"/>
    <w:rsid w:val="00B64728"/>
    <w:rsid w:val="00B64DEA"/>
    <w:rsid w:val="00B65083"/>
    <w:rsid w:val="00B656A3"/>
    <w:rsid w:val="00B65F0D"/>
    <w:rsid w:val="00B666C2"/>
    <w:rsid w:val="00B6752A"/>
    <w:rsid w:val="00B701C0"/>
    <w:rsid w:val="00B70900"/>
    <w:rsid w:val="00B70B5B"/>
    <w:rsid w:val="00B71D79"/>
    <w:rsid w:val="00B72531"/>
    <w:rsid w:val="00B72900"/>
    <w:rsid w:val="00B732CB"/>
    <w:rsid w:val="00B73401"/>
    <w:rsid w:val="00B7396E"/>
    <w:rsid w:val="00B73DD0"/>
    <w:rsid w:val="00B747E9"/>
    <w:rsid w:val="00B7561D"/>
    <w:rsid w:val="00B75B9A"/>
    <w:rsid w:val="00B761F4"/>
    <w:rsid w:val="00B76928"/>
    <w:rsid w:val="00B76A80"/>
    <w:rsid w:val="00B77B0D"/>
    <w:rsid w:val="00B80625"/>
    <w:rsid w:val="00B808BD"/>
    <w:rsid w:val="00B8182D"/>
    <w:rsid w:val="00B81AC2"/>
    <w:rsid w:val="00B81ADF"/>
    <w:rsid w:val="00B81FC3"/>
    <w:rsid w:val="00B82AD7"/>
    <w:rsid w:val="00B82C60"/>
    <w:rsid w:val="00B832CF"/>
    <w:rsid w:val="00B83523"/>
    <w:rsid w:val="00B835B2"/>
    <w:rsid w:val="00B856F1"/>
    <w:rsid w:val="00B856F8"/>
    <w:rsid w:val="00B85DE8"/>
    <w:rsid w:val="00B8665C"/>
    <w:rsid w:val="00B878BB"/>
    <w:rsid w:val="00B87A06"/>
    <w:rsid w:val="00B9174B"/>
    <w:rsid w:val="00B920DB"/>
    <w:rsid w:val="00B929FA"/>
    <w:rsid w:val="00B92A89"/>
    <w:rsid w:val="00B93F24"/>
    <w:rsid w:val="00B94004"/>
    <w:rsid w:val="00B9419A"/>
    <w:rsid w:val="00B94CE1"/>
    <w:rsid w:val="00B97080"/>
    <w:rsid w:val="00BA00AE"/>
    <w:rsid w:val="00BA14FF"/>
    <w:rsid w:val="00BA17CA"/>
    <w:rsid w:val="00BA1B41"/>
    <w:rsid w:val="00BA225B"/>
    <w:rsid w:val="00BA36E3"/>
    <w:rsid w:val="00BA3F2D"/>
    <w:rsid w:val="00BA5130"/>
    <w:rsid w:val="00BA56B3"/>
    <w:rsid w:val="00BA5E52"/>
    <w:rsid w:val="00BA6596"/>
    <w:rsid w:val="00BA6726"/>
    <w:rsid w:val="00BA727A"/>
    <w:rsid w:val="00BA7A42"/>
    <w:rsid w:val="00BB02A7"/>
    <w:rsid w:val="00BB1592"/>
    <w:rsid w:val="00BB2498"/>
    <w:rsid w:val="00BB2BCB"/>
    <w:rsid w:val="00BB3661"/>
    <w:rsid w:val="00BB3B36"/>
    <w:rsid w:val="00BB3BE3"/>
    <w:rsid w:val="00BB3DF6"/>
    <w:rsid w:val="00BB4745"/>
    <w:rsid w:val="00BB4941"/>
    <w:rsid w:val="00BB6647"/>
    <w:rsid w:val="00BB79B1"/>
    <w:rsid w:val="00BC163F"/>
    <w:rsid w:val="00BC17E9"/>
    <w:rsid w:val="00BC1FBE"/>
    <w:rsid w:val="00BC26E5"/>
    <w:rsid w:val="00BC2E90"/>
    <w:rsid w:val="00BC3B8B"/>
    <w:rsid w:val="00BC4C3B"/>
    <w:rsid w:val="00BC4D9A"/>
    <w:rsid w:val="00BC6162"/>
    <w:rsid w:val="00BC67A1"/>
    <w:rsid w:val="00BC6FF0"/>
    <w:rsid w:val="00BC7461"/>
    <w:rsid w:val="00BC76D7"/>
    <w:rsid w:val="00BC7971"/>
    <w:rsid w:val="00BD0689"/>
    <w:rsid w:val="00BD0969"/>
    <w:rsid w:val="00BD09B5"/>
    <w:rsid w:val="00BD0AB8"/>
    <w:rsid w:val="00BD0E4D"/>
    <w:rsid w:val="00BD18AD"/>
    <w:rsid w:val="00BD33A8"/>
    <w:rsid w:val="00BD36E2"/>
    <w:rsid w:val="00BD3984"/>
    <w:rsid w:val="00BD43BF"/>
    <w:rsid w:val="00BD618A"/>
    <w:rsid w:val="00BD6522"/>
    <w:rsid w:val="00BD7A74"/>
    <w:rsid w:val="00BE0450"/>
    <w:rsid w:val="00BE11C6"/>
    <w:rsid w:val="00BE14DB"/>
    <w:rsid w:val="00BE1B06"/>
    <w:rsid w:val="00BE24A8"/>
    <w:rsid w:val="00BE2A7E"/>
    <w:rsid w:val="00BE2B5C"/>
    <w:rsid w:val="00BE3CDB"/>
    <w:rsid w:val="00BE47D2"/>
    <w:rsid w:val="00BE591A"/>
    <w:rsid w:val="00BE622A"/>
    <w:rsid w:val="00BE7183"/>
    <w:rsid w:val="00BE7F82"/>
    <w:rsid w:val="00BF1E72"/>
    <w:rsid w:val="00BF261C"/>
    <w:rsid w:val="00BF30DC"/>
    <w:rsid w:val="00BF3BFA"/>
    <w:rsid w:val="00BF3E7B"/>
    <w:rsid w:val="00BF5576"/>
    <w:rsid w:val="00BF7098"/>
    <w:rsid w:val="00C0152F"/>
    <w:rsid w:val="00C03AD9"/>
    <w:rsid w:val="00C03AE1"/>
    <w:rsid w:val="00C047E8"/>
    <w:rsid w:val="00C04ED6"/>
    <w:rsid w:val="00C05E77"/>
    <w:rsid w:val="00C0641A"/>
    <w:rsid w:val="00C06F83"/>
    <w:rsid w:val="00C07034"/>
    <w:rsid w:val="00C07C88"/>
    <w:rsid w:val="00C07FA0"/>
    <w:rsid w:val="00C10814"/>
    <w:rsid w:val="00C1103A"/>
    <w:rsid w:val="00C11241"/>
    <w:rsid w:val="00C160E2"/>
    <w:rsid w:val="00C175C1"/>
    <w:rsid w:val="00C17EE5"/>
    <w:rsid w:val="00C20325"/>
    <w:rsid w:val="00C203A5"/>
    <w:rsid w:val="00C20589"/>
    <w:rsid w:val="00C21215"/>
    <w:rsid w:val="00C22C96"/>
    <w:rsid w:val="00C23145"/>
    <w:rsid w:val="00C2343D"/>
    <w:rsid w:val="00C23D71"/>
    <w:rsid w:val="00C24C3D"/>
    <w:rsid w:val="00C24D2A"/>
    <w:rsid w:val="00C253D5"/>
    <w:rsid w:val="00C265CE"/>
    <w:rsid w:val="00C26EF4"/>
    <w:rsid w:val="00C27111"/>
    <w:rsid w:val="00C274E1"/>
    <w:rsid w:val="00C2779B"/>
    <w:rsid w:val="00C30842"/>
    <w:rsid w:val="00C314B9"/>
    <w:rsid w:val="00C31DBF"/>
    <w:rsid w:val="00C33179"/>
    <w:rsid w:val="00C33F94"/>
    <w:rsid w:val="00C346DB"/>
    <w:rsid w:val="00C35A6C"/>
    <w:rsid w:val="00C36026"/>
    <w:rsid w:val="00C37A14"/>
    <w:rsid w:val="00C401C3"/>
    <w:rsid w:val="00C40421"/>
    <w:rsid w:val="00C407BC"/>
    <w:rsid w:val="00C409AF"/>
    <w:rsid w:val="00C42092"/>
    <w:rsid w:val="00C420DB"/>
    <w:rsid w:val="00C424D7"/>
    <w:rsid w:val="00C44284"/>
    <w:rsid w:val="00C44C62"/>
    <w:rsid w:val="00C44CD2"/>
    <w:rsid w:val="00C45D07"/>
    <w:rsid w:val="00C46A39"/>
    <w:rsid w:val="00C47A1E"/>
    <w:rsid w:val="00C50333"/>
    <w:rsid w:val="00C50873"/>
    <w:rsid w:val="00C5126E"/>
    <w:rsid w:val="00C5138E"/>
    <w:rsid w:val="00C51DC8"/>
    <w:rsid w:val="00C52AC8"/>
    <w:rsid w:val="00C52C6E"/>
    <w:rsid w:val="00C52EDD"/>
    <w:rsid w:val="00C5341A"/>
    <w:rsid w:val="00C53707"/>
    <w:rsid w:val="00C53790"/>
    <w:rsid w:val="00C540C1"/>
    <w:rsid w:val="00C56C60"/>
    <w:rsid w:val="00C572A8"/>
    <w:rsid w:val="00C60CCF"/>
    <w:rsid w:val="00C619BF"/>
    <w:rsid w:val="00C625D6"/>
    <w:rsid w:val="00C62FDF"/>
    <w:rsid w:val="00C630BE"/>
    <w:rsid w:val="00C6369E"/>
    <w:rsid w:val="00C644C4"/>
    <w:rsid w:val="00C64524"/>
    <w:rsid w:val="00C64A37"/>
    <w:rsid w:val="00C64FF3"/>
    <w:rsid w:val="00C65880"/>
    <w:rsid w:val="00C65CA3"/>
    <w:rsid w:val="00C66E3F"/>
    <w:rsid w:val="00C67507"/>
    <w:rsid w:val="00C70714"/>
    <w:rsid w:val="00C70E0F"/>
    <w:rsid w:val="00C717A8"/>
    <w:rsid w:val="00C71892"/>
    <w:rsid w:val="00C72218"/>
    <w:rsid w:val="00C7292E"/>
    <w:rsid w:val="00C73B97"/>
    <w:rsid w:val="00C74AF2"/>
    <w:rsid w:val="00C74DDC"/>
    <w:rsid w:val="00C74E87"/>
    <w:rsid w:val="00C75BF0"/>
    <w:rsid w:val="00C76784"/>
    <w:rsid w:val="00C769AA"/>
    <w:rsid w:val="00C76D7C"/>
    <w:rsid w:val="00C76F58"/>
    <w:rsid w:val="00C80008"/>
    <w:rsid w:val="00C80927"/>
    <w:rsid w:val="00C80BE8"/>
    <w:rsid w:val="00C83582"/>
    <w:rsid w:val="00C866F9"/>
    <w:rsid w:val="00C86A6C"/>
    <w:rsid w:val="00C87D0A"/>
    <w:rsid w:val="00C87F19"/>
    <w:rsid w:val="00C9061E"/>
    <w:rsid w:val="00C914AF"/>
    <w:rsid w:val="00C9327E"/>
    <w:rsid w:val="00C94F86"/>
    <w:rsid w:val="00C959A7"/>
    <w:rsid w:val="00C96111"/>
    <w:rsid w:val="00C963C3"/>
    <w:rsid w:val="00C96DBE"/>
    <w:rsid w:val="00C9765F"/>
    <w:rsid w:val="00C976E6"/>
    <w:rsid w:val="00CA0A0F"/>
    <w:rsid w:val="00CA1CF2"/>
    <w:rsid w:val="00CA3600"/>
    <w:rsid w:val="00CA4FD1"/>
    <w:rsid w:val="00CA5567"/>
    <w:rsid w:val="00CA64E5"/>
    <w:rsid w:val="00CA6634"/>
    <w:rsid w:val="00CA6756"/>
    <w:rsid w:val="00CA7F93"/>
    <w:rsid w:val="00CB0BFF"/>
    <w:rsid w:val="00CB1050"/>
    <w:rsid w:val="00CB3175"/>
    <w:rsid w:val="00CB31EE"/>
    <w:rsid w:val="00CB44E7"/>
    <w:rsid w:val="00CB4BA6"/>
    <w:rsid w:val="00CB5A4B"/>
    <w:rsid w:val="00CB5BA0"/>
    <w:rsid w:val="00CB620D"/>
    <w:rsid w:val="00CB6989"/>
    <w:rsid w:val="00CB7538"/>
    <w:rsid w:val="00CB77E9"/>
    <w:rsid w:val="00CB7D71"/>
    <w:rsid w:val="00CC0B6F"/>
    <w:rsid w:val="00CC0FFA"/>
    <w:rsid w:val="00CC1145"/>
    <w:rsid w:val="00CC1394"/>
    <w:rsid w:val="00CC16A8"/>
    <w:rsid w:val="00CC2A6C"/>
    <w:rsid w:val="00CC3A9A"/>
    <w:rsid w:val="00CC5550"/>
    <w:rsid w:val="00CC6DFB"/>
    <w:rsid w:val="00CD24E7"/>
    <w:rsid w:val="00CD2C09"/>
    <w:rsid w:val="00CD579E"/>
    <w:rsid w:val="00CD5F57"/>
    <w:rsid w:val="00CD7110"/>
    <w:rsid w:val="00CD7768"/>
    <w:rsid w:val="00CE06A4"/>
    <w:rsid w:val="00CE14BA"/>
    <w:rsid w:val="00CE1E32"/>
    <w:rsid w:val="00CE2102"/>
    <w:rsid w:val="00CE27DF"/>
    <w:rsid w:val="00CE40B7"/>
    <w:rsid w:val="00CE4BE9"/>
    <w:rsid w:val="00CE52DF"/>
    <w:rsid w:val="00CE6484"/>
    <w:rsid w:val="00CE704F"/>
    <w:rsid w:val="00CE75AD"/>
    <w:rsid w:val="00CF0340"/>
    <w:rsid w:val="00CF1074"/>
    <w:rsid w:val="00CF1650"/>
    <w:rsid w:val="00CF1770"/>
    <w:rsid w:val="00CF1CF8"/>
    <w:rsid w:val="00CF223D"/>
    <w:rsid w:val="00CF353F"/>
    <w:rsid w:val="00CF3B42"/>
    <w:rsid w:val="00CF425B"/>
    <w:rsid w:val="00CF4326"/>
    <w:rsid w:val="00CF7185"/>
    <w:rsid w:val="00CF7AF0"/>
    <w:rsid w:val="00CF7F30"/>
    <w:rsid w:val="00D00A2D"/>
    <w:rsid w:val="00D024BD"/>
    <w:rsid w:val="00D0327A"/>
    <w:rsid w:val="00D0368D"/>
    <w:rsid w:val="00D03916"/>
    <w:rsid w:val="00D03CA2"/>
    <w:rsid w:val="00D049AD"/>
    <w:rsid w:val="00D061FC"/>
    <w:rsid w:val="00D1124A"/>
    <w:rsid w:val="00D119F6"/>
    <w:rsid w:val="00D11B45"/>
    <w:rsid w:val="00D11DB7"/>
    <w:rsid w:val="00D11E4C"/>
    <w:rsid w:val="00D1260B"/>
    <w:rsid w:val="00D127AC"/>
    <w:rsid w:val="00D13258"/>
    <w:rsid w:val="00D134DB"/>
    <w:rsid w:val="00D14102"/>
    <w:rsid w:val="00D14ABA"/>
    <w:rsid w:val="00D150F7"/>
    <w:rsid w:val="00D161A2"/>
    <w:rsid w:val="00D20482"/>
    <w:rsid w:val="00D21C89"/>
    <w:rsid w:val="00D231B8"/>
    <w:rsid w:val="00D23923"/>
    <w:rsid w:val="00D23C25"/>
    <w:rsid w:val="00D23C8C"/>
    <w:rsid w:val="00D23DF9"/>
    <w:rsid w:val="00D23E82"/>
    <w:rsid w:val="00D25094"/>
    <w:rsid w:val="00D25E02"/>
    <w:rsid w:val="00D30747"/>
    <w:rsid w:val="00D340C7"/>
    <w:rsid w:val="00D34645"/>
    <w:rsid w:val="00D359E5"/>
    <w:rsid w:val="00D36081"/>
    <w:rsid w:val="00D36773"/>
    <w:rsid w:val="00D367D5"/>
    <w:rsid w:val="00D36F00"/>
    <w:rsid w:val="00D36F2F"/>
    <w:rsid w:val="00D37733"/>
    <w:rsid w:val="00D37F6C"/>
    <w:rsid w:val="00D37FA6"/>
    <w:rsid w:val="00D40222"/>
    <w:rsid w:val="00D4223C"/>
    <w:rsid w:val="00D42EB0"/>
    <w:rsid w:val="00D4308F"/>
    <w:rsid w:val="00D44FA2"/>
    <w:rsid w:val="00D46132"/>
    <w:rsid w:val="00D46628"/>
    <w:rsid w:val="00D46706"/>
    <w:rsid w:val="00D467D1"/>
    <w:rsid w:val="00D47424"/>
    <w:rsid w:val="00D47E6C"/>
    <w:rsid w:val="00D501F1"/>
    <w:rsid w:val="00D50CCE"/>
    <w:rsid w:val="00D5127F"/>
    <w:rsid w:val="00D514C7"/>
    <w:rsid w:val="00D5284E"/>
    <w:rsid w:val="00D5422D"/>
    <w:rsid w:val="00D56A0E"/>
    <w:rsid w:val="00D60612"/>
    <w:rsid w:val="00D60C1E"/>
    <w:rsid w:val="00D60F52"/>
    <w:rsid w:val="00D6256B"/>
    <w:rsid w:val="00D6293D"/>
    <w:rsid w:val="00D64740"/>
    <w:rsid w:val="00D65046"/>
    <w:rsid w:val="00D650D8"/>
    <w:rsid w:val="00D651BB"/>
    <w:rsid w:val="00D65493"/>
    <w:rsid w:val="00D65B3B"/>
    <w:rsid w:val="00D721D2"/>
    <w:rsid w:val="00D74BC7"/>
    <w:rsid w:val="00D74EC4"/>
    <w:rsid w:val="00D7501A"/>
    <w:rsid w:val="00D75288"/>
    <w:rsid w:val="00D75551"/>
    <w:rsid w:val="00D75E6F"/>
    <w:rsid w:val="00D7615E"/>
    <w:rsid w:val="00D7677B"/>
    <w:rsid w:val="00D76D9E"/>
    <w:rsid w:val="00D77266"/>
    <w:rsid w:val="00D77BD7"/>
    <w:rsid w:val="00D77C14"/>
    <w:rsid w:val="00D80E6F"/>
    <w:rsid w:val="00D81796"/>
    <w:rsid w:val="00D81B80"/>
    <w:rsid w:val="00D81C8B"/>
    <w:rsid w:val="00D82C59"/>
    <w:rsid w:val="00D8357D"/>
    <w:rsid w:val="00D8380A"/>
    <w:rsid w:val="00D83AA8"/>
    <w:rsid w:val="00D8474E"/>
    <w:rsid w:val="00D84CD2"/>
    <w:rsid w:val="00D854FA"/>
    <w:rsid w:val="00D85C8C"/>
    <w:rsid w:val="00D85FAF"/>
    <w:rsid w:val="00D86E87"/>
    <w:rsid w:val="00D86F20"/>
    <w:rsid w:val="00D87A05"/>
    <w:rsid w:val="00D87EA6"/>
    <w:rsid w:val="00D902A9"/>
    <w:rsid w:val="00D90EB7"/>
    <w:rsid w:val="00D9107B"/>
    <w:rsid w:val="00D91119"/>
    <w:rsid w:val="00D92300"/>
    <w:rsid w:val="00D935C3"/>
    <w:rsid w:val="00D93B8C"/>
    <w:rsid w:val="00D9425D"/>
    <w:rsid w:val="00D94520"/>
    <w:rsid w:val="00D94723"/>
    <w:rsid w:val="00D95C4C"/>
    <w:rsid w:val="00DA0819"/>
    <w:rsid w:val="00DA0D34"/>
    <w:rsid w:val="00DA1108"/>
    <w:rsid w:val="00DA2C46"/>
    <w:rsid w:val="00DA2DBF"/>
    <w:rsid w:val="00DA3C26"/>
    <w:rsid w:val="00DA46DC"/>
    <w:rsid w:val="00DA4859"/>
    <w:rsid w:val="00DA48DA"/>
    <w:rsid w:val="00DA55BD"/>
    <w:rsid w:val="00DA585F"/>
    <w:rsid w:val="00DA6D3A"/>
    <w:rsid w:val="00DB0D41"/>
    <w:rsid w:val="00DB16C3"/>
    <w:rsid w:val="00DB2446"/>
    <w:rsid w:val="00DB2608"/>
    <w:rsid w:val="00DB2BB7"/>
    <w:rsid w:val="00DB2BD8"/>
    <w:rsid w:val="00DB3188"/>
    <w:rsid w:val="00DB419C"/>
    <w:rsid w:val="00DB4362"/>
    <w:rsid w:val="00DB510D"/>
    <w:rsid w:val="00DB5F03"/>
    <w:rsid w:val="00DB6614"/>
    <w:rsid w:val="00DB6EEF"/>
    <w:rsid w:val="00DC0021"/>
    <w:rsid w:val="00DC07BF"/>
    <w:rsid w:val="00DC1ED9"/>
    <w:rsid w:val="00DC21C7"/>
    <w:rsid w:val="00DC3041"/>
    <w:rsid w:val="00DC4158"/>
    <w:rsid w:val="00DC4549"/>
    <w:rsid w:val="00DC50AF"/>
    <w:rsid w:val="00DC544A"/>
    <w:rsid w:val="00DC625C"/>
    <w:rsid w:val="00DC70DE"/>
    <w:rsid w:val="00DC765E"/>
    <w:rsid w:val="00DC7949"/>
    <w:rsid w:val="00DC7C35"/>
    <w:rsid w:val="00DD1F75"/>
    <w:rsid w:val="00DD3324"/>
    <w:rsid w:val="00DD46A3"/>
    <w:rsid w:val="00DD46BE"/>
    <w:rsid w:val="00DD54A6"/>
    <w:rsid w:val="00DD6848"/>
    <w:rsid w:val="00DD70A3"/>
    <w:rsid w:val="00DE179E"/>
    <w:rsid w:val="00DE183B"/>
    <w:rsid w:val="00DE19EA"/>
    <w:rsid w:val="00DE2040"/>
    <w:rsid w:val="00DE20CF"/>
    <w:rsid w:val="00DE260C"/>
    <w:rsid w:val="00DE2755"/>
    <w:rsid w:val="00DE2C05"/>
    <w:rsid w:val="00DE353F"/>
    <w:rsid w:val="00DE6BEF"/>
    <w:rsid w:val="00DF15EB"/>
    <w:rsid w:val="00DF3613"/>
    <w:rsid w:val="00DF3816"/>
    <w:rsid w:val="00DF4ED7"/>
    <w:rsid w:val="00DF5786"/>
    <w:rsid w:val="00DF585C"/>
    <w:rsid w:val="00DF6840"/>
    <w:rsid w:val="00DF6E0E"/>
    <w:rsid w:val="00E011A4"/>
    <w:rsid w:val="00E01709"/>
    <w:rsid w:val="00E02485"/>
    <w:rsid w:val="00E0297C"/>
    <w:rsid w:val="00E02BA7"/>
    <w:rsid w:val="00E034C2"/>
    <w:rsid w:val="00E039B0"/>
    <w:rsid w:val="00E0420C"/>
    <w:rsid w:val="00E06433"/>
    <w:rsid w:val="00E06A49"/>
    <w:rsid w:val="00E06EB3"/>
    <w:rsid w:val="00E06ED5"/>
    <w:rsid w:val="00E07683"/>
    <w:rsid w:val="00E079F7"/>
    <w:rsid w:val="00E1109D"/>
    <w:rsid w:val="00E11B07"/>
    <w:rsid w:val="00E13F5B"/>
    <w:rsid w:val="00E14640"/>
    <w:rsid w:val="00E14864"/>
    <w:rsid w:val="00E14F26"/>
    <w:rsid w:val="00E15211"/>
    <w:rsid w:val="00E156B6"/>
    <w:rsid w:val="00E1578C"/>
    <w:rsid w:val="00E162CC"/>
    <w:rsid w:val="00E17589"/>
    <w:rsid w:val="00E2053B"/>
    <w:rsid w:val="00E20CE2"/>
    <w:rsid w:val="00E20FF6"/>
    <w:rsid w:val="00E2104A"/>
    <w:rsid w:val="00E215FE"/>
    <w:rsid w:val="00E21687"/>
    <w:rsid w:val="00E23475"/>
    <w:rsid w:val="00E23874"/>
    <w:rsid w:val="00E240EC"/>
    <w:rsid w:val="00E24442"/>
    <w:rsid w:val="00E247EC"/>
    <w:rsid w:val="00E24973"/>
    <w:rsid w:val="00E24C22"/>
    <w:rsid w:val="00E26813"/>
    <w:rsid w:val="00E2748D"/>
    <w:rsid w:val="00E303BB"/>
    <w:rsid w:val="00E3271F"/>
    <w:rsid w:val="00E327DF"/>
    <w:rsid w:val="00E336C5"/>
    <w:rsid w:val="00E34053"/>
    <w:rsid w:val="00E36531"/>
    <w:rsid w:val="00E37774"/>
    <w:rsid w:val="00E40744"/>
    <w:rsid w:val="00E4133D"/>
    <w:rsid w:val="00E42C01"/>
    <w:rsid w:val="00E46534"/>
    <w:rsid w:val="00E471E9"/>
    <w:rsid w:val="00E47A7C"/>
    <w:rsid w:val="00E513E7"/>
    <w:rsid w:val="00E515F6"/>
    <w:rsid w:val="00E51CEC"/>
    <w:rsid w:val="00E520A6"/>
    <w:rsid w:val="00E53230"/>
    <w:rsid w:val="00E5341C"/>
    <w:rsid w:val="00E53B2F"/>
    <w:rsid w:val="00E549AC"/>
    <w:rsid w:val="00E54F4F"/>
    <w:rsid w:val="00E55018"/>
    <w:rsid w:val="00E56227"/>
    <w:rsid w:val="00E56A7E"/>
    <w:rsid w:val="00E61089"/>
    <w:rsid w:val="00E631D5"/>
    <w:rsid w:val="00E65EBB"/>
    <w:rsid w:val="00E66956"/>
    <w:rsid w:val="00E67895"/>
    <w:rsid w:val="00E67F48"/>
    <w:rsid w:val="00E71A6F"/>
    <w:rsid w:val="00E71CBC"/>
    <w:rsid w:val="00E7252D"/>
    <w:rsid w:val="00E72770"/>
    <w:rsid w:val="00E739C1"/>
    <w:rsid w:val="00E739C8"/>
    <w:rsid w:val="00E73D1F"/>
    <w:rsid w:val="00E766B3"/>
    <w:rsid w:val="00E76D58"/>
    <w:rsid w:val="00E77218"/>
    <w:rsid w:val="00E774D9"/>
    <w:rsid w:val="00E77DFA"/>
    <w:rsid w:val="00E808D8"/>
    <w:rsid w:val="00E813B2"/>
    <w:rsid w:val="00E81B60"/>
    <w:rsid w:val="00E81E26"/>
    <w:rsid w:val="00E82377"/>
    <w:rsid w:val="00E82E98"/>
    <w:rsid w:val="00E82FDA"/>
    <w:rsid w:val="00E837BD"/>
    <w:rsid w:val="00E83D14"/>
    <w:rsid w:val="00E83EDE"/>
    <w:rsid w:val="00E84BDC"/>
    <w:rsid w:val="00E84E9F"/>
    <w:rsid w:val="00E84F60"/>
    <w:rsid w:val="00E85513"/>
    <w:rsid w:val="00E8568E"/>
    <w:rsid w:val="00E85882"/>
    <w:rsid w:val="00E86B46"/>
    <w:rsid w:val="00E9132C"/>
    <w:rsid w:val="00E93332"/>
    <w:rsid w:val="00E9375F"/>
    <w:rsid w:val="00E941A8"/>
    <w:rsid w:val="00E94575"/>
    <w:rsid w:val="00E958A4"/>
    <w:rsid w:val="00E96923"/>
    <w:rsid w:val="00E9711F"/>
    <w:rsid w:val="00E97253"/>
    <w:rsid w:val="00E97307"/>
    <w:rsid w:val="00EA06DD"/>
    <w:rsid w:val="00EA0961"/>
    <w:rsid w:val="00EA0D59"/>
    <w:rsid w:val="00EA142A"/>
    <w:rsid w:val="00EA2361"/>
    <w:rsid w:val="00EA36AB"/>
    <w:rsid w:val="00EA4FF3"/>
    <w:rsid w:val="00EA53CF"/>
    <w:rsid w:val="00EA5F3F"/>
    <w:rsid w:val="00EA6E55"/>
    <w:rsid w:val="00EB03B3"/>
    <w:rsid w:val="00EB0706"/>
    <w:rsid w:val="00EB11B6"/>
    <w:rsid w:val="00EB16A2"/>
    <w:rsid w:val="00EB24A3"/>
    <w:rsid w:val="00EB2EAF"/>
    <w:rsid w:val="00EB3262"/>
    <w:rsid w:val="00EB3719"/>
    <w:rsid w:val="00EB3F80"/>
    <w:rsid w:val="00EB41A8"/>
    <w:rsid w:val="00EB435A"/>
    <w:rsid w:val="00EB4410"/>
    <w:rsid w:val="00EB46BB"/>
    <w:rsid w:val="00EB4B14"/>
    <w:rsid w:val="00EB4ED0"/>
    <w:rsid w:val="00EB551D"/>
    <w:rsid w:val="00EB5CC2"/>
    <w:rsid w:val="00EB6C2E"/>
    <w:rsid w:val="00EB6C79"/>
    <w:rsid w:val="00EC2C62"/>
    <w:rsid w:val="00EC2F8E"/>
    <w:rsid w:val="00EC35F0"/>
    <w:rsid w:val="00EC3610"/>
    <w:rsid w:val="00EC3763"/>
    <w:rsid w:val="00EC3934"/>
    <w:rsid w:val="00EC6284"/>
    <w:rsid w:val="00EC7599"/>
    <w:rsid w:val="00ED11CD"/>
    <w:rsid w:val="00ED1C41"/>
    <w:rsid w:val="00ED2813"/>
    <w:rsid w:val="00ED2A17"/>
    <w:rsid w:val="00ED37C2"/>
    <w:rsid w:val="00ED4F8D"/>
    <w:rsid w:val="00ED5D0F"/>
    <w:rsid w:val="00ED60C7"/>
    <w:rsid w:val="00ED60D2"/>
    <w:rsid w:val="00EE1085"/>
    <w:rsid w:val="00EE12E7"/>
    <w:rsid w:val="00EE310A"/>
    <w:rsid w:val="00EE34A1"/>
    <w:rsid w:val="00EE3BC5"/>
    <w:rsid w:val="00EE54A9"/>
    <w:rsid w:val="00EE6F2A"/>
    <w:rsid w:val="00EF4550"/>
    <w:rsid w:val="00EF462A"/>
    <w:rsid w:val="00EF4779"/>
    <w:rsid w:val="00EF4D62"/>
    <w:rsid w:val="00EF512D"/>
    <w:rsid w:val="00EF559B"/>
    <w:rsid w:val="00EF5784"/>
    <w:rsid w:val="00EF71BD"/>
    <w:rsid w:val="00F01EE5"/>
    <w:rsid w:val="00F02717"/>
    <w:rsid w:val="00F02F55"/>
    <w:rsid w:val="00F03727"/>
    <w:rsid w:val="00F05E7F"/>
    <w:rsid w:val="00F104DD"/>
    <w:rsid w:val="00F10540"/>
    <w:rsid w:val="00F11ED1"/>
    <w:rsid w:val="00F13077"/>
    <w:rsid w:val="00F13C44"/>
    <w:rsid w:val="00F147B4"/>
    <w:rsid w:val="00F15997"/>
    <w:rsid w:val="00F16422"/>
    <w:rsid w:val="00F16D49"/>
    <w:rsid w:val="00F209A3"/>
    <w:rsid w:val="00F22164"/>
    <w:rsid w:val="00F22598"/>
    <w:rsid w:val="00F2266E"/>
    <w:rsid w:val="00F22E9F"/>
    <w:rsid w:val="00F232D7"/>
    <w:rsid w:val="00F2353E"/>
    <w:rsid w:val="00F2400E"/>
    <w:rsid w:val="00F241D3"/>
    <w:rsid w:val="00F2580E"/>
    <w:rsid w:val="00F2597E"/>
    <w:rsid w:val="00F31C26"/>
    <w:rsid w:val="00F31CB0"/>
    <w:rsid w:val="00F32AC0"/>
    <w:rsid w:val="00F340B2"/>
    <w:rsid w:val="00F3470D"/>
    <w:rsid w:val="00F35BF7"/>
    <w:rsid w:val="00F35C30"/>
    <w:rsid w:val="00F3669D"/>
    <w:rsid w:val="00F374B9"/>
    <w:rsid w:val="00F3798F"/>
    <w:rsid w:val="00F37D1A"/>
    <w:rsid w:val="00F37E3C"/>
    <w:rsid w:val="00F37FB7"/>
    <w:rsid w:val="00F42059"/>
    <w:rsid w:val="00F42980"/>
    <w:rsid w:val="00F4345A"/>
    <w:rsid w:val="00F43DFB"/>
    <w:rsid w:val="00F4649F"/>
    <w:rsid w:val="00F465E5"/>
    <w:rsid w:val="00F46D42"/>
    <w:rsid w:val="00F47300"/>
    <w:rsid w:val="00F47432"/>
    <w:rsid w:val="00F47CFA"/>
    <w:rsid w:val="00F47F3F"/>
    <w:rsid w:val="00F50787"/>
    <w:rsid w:val="00F510DD"/>
    <w:rsid w:val="00F5167C"/>
    <w:rsid w:val="00F52A73"/>
    <w:rsid w:val="00F52DFD"/>
    <w:rsid w:val="00F5302D"/>
    <w:rsid w:val="00F5387C"/>
    <w:rsid w:val="00F544F7"/>
    <w:rsid w:val="00F54844"/>
    <w:rsid w:val="00F55956"/>
    <w:rsid w:val="00F56382"/>
    <w:rsid w:val="00F56DC2"/>
    <w:rsid w:val="00F57358"/>
    <w:rsid w:val="00F57831"/>
    <w:rsid w:val="00F602DF"/>
    <w:rsid w:val="00F60409"/>
    <w:rsid w:val="00F610ED"/>
    <w:rsid w:val="00F61173"/>
    <w:rsid w:val="00F61599"/>
    <w:rsid w:val="00F617AD"/>
    <w:rsid w:val="00F626D6"/>
    <w:rsid w:val="00F628F0"/>
    <w:rsid w:val="00F62D5E"/>
    <w:rsid w:val="00F62FF8"/>
    <w:rsid w:val="00F63638"/>
    <w:rsid w:val="00F63C18"/>
    <w:rsid w:val="00F64D8A"/>
    <w:rsid w:val="00F66D62"/>
    <w:rsid w:val="00F70010"/>
    <w:rsid w:val="00F7164C"/>
    <w:rsid w:val="00F718C8"/>
    <w:rsid w:val="00F71CA0"/>
    <w:rsid w:val="00F72B6D"/>
    <w:rsid w:val="00F73554"/>
    <w:rsid w:val="00F73AE2"/>
    <w:rsid w:val="00F73D2E"/>
    <w:rsid w:val="00F75008"/>
    <w:rsid w:val="00F7593A"/>
    <w:rsid w:val="00F760E6"/>
    <w:rsid w:val="00F76226"/>
    <w:rsid w:val="00F76E5F"/>
    <w:rsid w:val="00F77A21"/>
    <w:rsid w:val="00F77F17"/>
    <w:rsid w:val="00F80406"/>
    <w:rsid w:val="00F80A67"/>
    <w:rsid w:val="00F80BE0"/>
    <w:rsid w:val="00F81D0E"/>
    <w:rsid w:val="00F825AA"/>
    <w:rsid w:val="00F8276D"/>
    <w:rsid w:val="00F82B87"/>
    <w:rsid w:val="00F82D9B"/>
    <w:rsid w:val="00F8360D"/>
    <w:rsid w:val="00F84005"/>
    <w:rsid w:val="00F84F28"/>
    <w:rsid w:val="00F8505B"/>
    <w:rsid w:val="00F85B5D"/>
    <w:rsid w:val="00F87487"/>
    <w:rsid w:val="00F87D86"/>
    <w:rsid w:val="00F904FE"/>
    <w:rsid w:val="00F9076A"/>
    <w:rsid w:val="00F91CD1"/>
    <w:rsid w:val="00F93613"/>
    <w:rsid w:val="00F943AE"/>
    <w:rsid w:val="00F9495A"/>
    <w:rsid w:val="00F94D4F"/>
    <w:rsid w:val="00F950A1"/>
    <w:rsid w:val="00F955F3"/>
    <w:rsid w:val="00F95A0D"/>
    <w:rsid w:val="00F95A2A"/>
    <w:rsid w:val="00F95DF5"/>
    <w:rsid w:val="00F96E19"/>
    <w:rsid w:val="00F97303"/>
    <w:rsid w:val="00F97EA2"/>
    <w:rsid w:val="00FA0967"/>
    <w:rsid w:val="00FA0C63"/>
    <w:rsid w:val="00FA0F8A"/>
    <w:rsid w:val="00FA1A37"/>
    <w:rsid w:val="00FA1AB5"/>
    <w:rsid w:val="00FA1B60"/>
    <w:rsid w:val="00FA1B94"/>
    <w:rsid w:val="00FA2392"/>
    <w:rsid w:val="00FA4DCE"/>
    <w:rsid w:val="00FA5D18"/>
    <w:rsid w:val="00FA74CA"/>
    <w:rsid w:val="00FA7AED"/>
    <w:rsid w:val="00FA7E25"/>
    <w:rsid w:val="00FB00F2"/>
    <w:rsid w:val="00FB0991"/>
    <w:rsid w:val="00FB0DD6"/>
    <w:rsid w:val="00FB206E"/>
    <w:rsid w:val="00FB2C68"/>
    <w:rsid w:val="00FB3033"/>
    <w:rsid w:val="00FB43D1"/>
    <w:rsid w:val="00FB4601"/>
    <w:rsid w:val="00FB5522"/>
    <w:rsid w:val="00FB565F"/>
    <w:rsid w:val="00FB625F"/>
    <w:rsid w:val="00FB663D"/>
    <w:rsid w:val="00FB6850"/>
    <w:rsid w:val="00FB6923"/>
    <w:rsid w:val="00FB70D7"/>
    <w:rsid w:val="00FB780A"/>
    <w:rsid w:val="00FB7EDB"/>
    <w:rsid w:val="00FC003E"/>
    <w:rsid w:val="00FC09FB"/>
    <w:rsid w:val="00FC0C49"/>
    <w:rsid w:val="00FC0DFC"/>
    <w:rsid w:val="00FC1390"/>
    <w:rsid w:val="00FC466A"/>
    <w:rsid w:val="00FC5F8F"/>
    <w:rsid w:val="00FC63D3"/>
    <w:rsid w:val="00FC6DF0"/>
    <w:rsid w:val="00FC747D"/>
    <w:rsid w:val="00FC7C41"/>
    <w:rsid w:val="00FD02B8"/>
    <w:rsid w:val="00FD0F2F"/>
    <w:rsid w:val="00FD141D"/>
    <w:rsid w:val="00FD16A6"/>
    <w:rsid w:val="00FD44C1"/>
    <w:rsid w:val="00FD4600"/>
    <w:rsid w:val="00FD6EE6"/>
    <w:rsid w:val="00FD6F21"/>
    <w:rsid w:val="00FD7318"/>
    <w:rsid w:val="00FD7563"/>
    <w:rsid w:val="00FD7D07"/>
    <w:rsid w:val="00FE05A3"/>
    <w:rsid w:val="00FE0F5A"/>
    <w:rsid w:val="00FE2F03"/>
    <w:rsid w:val="00FE3A63"/>
    <w:rsid w:val="00FE3F58"/>
    <w:rsid w:val="00FE4041"/>
    <w:rsid w:val="00FE448B"/>
    <w:rsid w:val="00FE4832"/>
    <w:rsid w:val="00FE4A1D"/>
    <w:rsid w:val="00FE551B"/>
    <w:rsid w:val="00FE5C72"/>
    <w:rsid w:val="00FE6FD0"/>
    <w:rsid w:val="00FF01A4"/>
    <w:rsid w:val="00FF2022"/>
    <w:rsid w:val="00FF31A1"/>
    <w:rsid w:val="00FF4EA6"/>
    <w:rsid w:val="00FF5373"/>
    <w:rsid w:val="00FF5DBB"/>
    <w:rsid w:val="00FF6305"/>
    <w:rsid w:val="00FF6488"/>
    <w:rsid w:val="00FF792D"/>
    <w:rsid w:val="00FF7D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62177D"/>
  <w15:docId w15:val="{E9E9F997-E06B-4E7D-8EEC-526AD652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AD7"/>
    <w:pPr>
      <w:spacing w:after="0" w:line="240" w:lineRule="auto"/>
      <w:jc w:val="both"/>
    </w:pPr>
    <w:rPr>
      <w:rFonts w:asciiTheme="majorBidi" w:hAnsiTheme="majorBidi" w:cstheme="majorBidi"/>
      <w:szCs w:val="24"/>
    </w:rPr>
  </w:style>
  <w:style w:type="paragraph" w:styleId="Heading1">
    <w:name w:val="heading 1"/>
    <w:basedOn w:val="Normal"/>
    <w:next w:val="Normal"/>
    <w:link w:val="Heading1Char"/>
    <w:autoRedefine/>
    <w:uiPriority w:val="9"/>
    <w:qFormat/>
    <w:rsid w:val="004E3A79"/>
    <w:pPr>
      <w:keepNext/>
      <w:keepLines/>
      <w:ind w:right="130"/>
      <w:jc w:val="left"/>
      <w:outlineLvl w:val="0"/>
    </w:pPr>
    <w:rPr>
      <w:rFonts w:eastAsiaTheme="majorEastAsia"/>
      <w:b/>
      <w:bCs/>
      <w:color w:val="000000" w:themeColor="text1"/>
      <w:sz w:val="32"/>
      <w:szCs w:val="32"/>
    </w:rPr>
  </w:style>
  <w:style w:type="paragraph" w:styleId="Heading2">
    <w:name w:val="heading 2"/>
    <w:basedOn w:val="Normal"/>
    <w:next w:val="Normal"/>
    <w:link w:val="Heading2Char"/>
    <w:autoRedefine/>
    <w:uiPriority w:val="9"/>
    <w:unhideWhenUsed/>
    <w:qFormat/>
    <w:rsid w:val="004E3A79"/>
    <w:pPr>
      <w:keepNext/>
      <w:keepLines/>
      <w:numPr>
        <w:numId w:val="3"/>
      </w:numPr>
      <w:ind w:left="284" w:hanging="284"/>
      <w:outlineLvl w:val="1"/>
    </w:pPr>
    <w:rPr>
      <w:rFonts w:eastAsiaTheme="majorEastAsia"/>
      <w:b/>
      <w:sz w:val="28"/>
    </w:rPr>
  </w:style>
  <w:style w:type="paragraph" w:styleId="Heading3">
    <w:name w:val="heading 3"/>
    <w:basedOn w:val="Normal"/>
    <w:next w:val="Normal"/>
    <w:link w:val="Heading3Char"/>
    <w:autoRedefine/>
    <w:uiPriority w:val="9"/>
    <w:unhideWhenUsed/>
    <w:qFormat/>
    <w:rsid w:val="004E3A79"/>
    <w:pPr>
      <w:keepNext/>
      <w:keepLines/>
      <w:numPr>
        <w:ilvl w:val="1"/>
        <w:numId w:val="4"/>
      </w:numPr>
      <w:ind w:left="426" w:hanging="426"/>
      <w:outlineLvl w:val="2"/>
    </w:pPr>
    <w:rPr>
      <w:rFonts w:eastAsiaTheme="majorEastAsia"/>
      <w:b/>
      <w:bCs/>
      <w:szCs w:val="22"/>
    </w:rPr>
  </w:style>
  <w:style w:type="paragraph" w:styleId="Heading4">
    <w:name w:val="heading 4"/>
    <w:basedOn w:val="Normal"/>
    <w:next w:val="Normal"/>
    <w:link w:val="Heading4Char"/>
    <w:autoRedefine/>
    <w:uiPriority w:val="9"/>
    <w:unhideWhenUsed/>
    <w:qFormat/>
    <w:rsid w:val="00A55640"/>
    <w:pPr>
      <w:numPr>
        <w:ilvl w:val="2"/>
        <w:numId w:val="2"/>
      </w:numPr>
      <w:spacing w:after="240"/>
      <w:ind w:left="426" w:hanging="426"/>
      <w:outlineLvl w:val="3"/>
    </w:pPr>
    <w:rPr>
      <w:bCs/>
      <w:i/>
      <w:iCs/>
    </w:rPr>
  </w:style>
  <w:style w:type="paragraph" w:styleId="Heading5">
    <w:name w:val="heading 5"/>
    <w:basedOn w:val="Normal"/>
    <w:next w:val="Normal"/>
    <w:link w:val="Heading5Char"/>
    <w:autoRedefine/>
    <w:uiPriority w:val="9"/>
    <w:unhideWhenUsed/>
    <w:qFormat/>
    <w:rsid w:val="00E84E9F"/>
    <w:pPr>
      <w:keepNext/>
      <w:keepLines/>
      <w:numPr>
        <w:ilvl w:val="4"/>
        <w:numId w:val="1"/>
      </w:numPr>
      <w:ind w:left="0" w:firstLine="0"/>
      <w:outlineLvl w:val="4"/>
    </w:pPr>
    <w:rPr>
      <w:rFonts w:eastAsiaTheme="majorEastAsia"/>
      <w:b/>
    </w:rPr>
  </w:style>
  <w:style w:type="paragraph" w:styleId="Heading6">
    <w:name w:val="heading 6"/>
    <w:basedOn w:val="Normal"/>
    <w:next w:val="Normal"/>
    <w:link w:val="Heading6Char"/>
    <w:autoRedefine/>
    <w:uiPriority w:val="9"/>
    <w:unhideWhenUsed/>
    <w:qFormat/>
    <w:rsid w:val="000A0976"/>
    <w:pPr>
      <w:keepNext/>
      <w:keepLines/>
      <w:numPr>
        <w:ilvl w:val="5"/>
        <w:numId w:val="1"/>
      </w:numPr>
      <w:ind w:left="0" w:firstLine="0"/>
      <w:outlineLvl w:val="5"/>
    </w:pPr>
    <w:rPr>
      <w:rFonts w:eastAsiaTheme="majorEastAsia"/>
      <w:b/>
    </w:rPr>
  </w:style>
  <w:style w:type="paragraph" w:styleId="Heading7">
    <w:name w:val="heading 7"/>
    <w:basedOn w:val="Normal"/>
    <w:next w:val="Normal"/>
    <w:link w:val="Heading7Char"/>
    <w:autoRedefine/>
    <w:uiPriority w:val="9"/>
    <w:unhideWhenUsed/>
    <w:qFormat/>
    <w:rsid w:val="00014523"/>
    <w:pPr>
      <w:keepNext/>
      <w:keepLines/>
      <w:numPr>
        <w:ilvl w:val="6"/>
        <w:numId w:val="1"/>
      </w:numPr>
      <w:ind w:left="0" w:firstLine="0"/>
      <w:outlineLvl w:val="6"/>
    </w:pPr>
    <w:rPr>
      <w:rFonts w:eastAsiaTheme="majorEastAsia"/>
      <w:b/>
      <w:iCs/>
    </w:rPr>
  </w:style>
  <w:style w:type="paragraph" w:styleId="Heading8">
    <w:name w:val="heading 8"/>
    <w:basedOn w:val="Normal"/>
    <w:next w:val="Normal"/>
    <w:link w:val="Heading8Char"/>
    <w:uiPriority w:val="9"/>
    <w:unhideWhenUsed/>
    <w:qFormat/>
    <w:rsid w:val="007836DB"/>
    <w:pPr>
      <w:keepNext/>
      <w:keepLines/>
      <w:numPr>
        <w:ilvl w:val="7"/>
        <w:numId w:val="1"/>
      </w:numPr>
      <w:spacing w:after="480"/>
      <w:outlineLvl w:val="7"/>
    </w:pPr>
    <w:rPr>
      <w:rFonts w:eastAsiaTheme="majorEastAsia"/>
      <w:b/>
      <w:color w:val="272727" w:themeColor="text1" w:themeTint="D8"/>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9"/>
    <w:rPr>
      <w:rFonts w:asciiTheme="majorBidi" w:eastAsiaTheme="majorEastAsia" w:hAnsiTheme="majorBidi" w:cstheme="majorBidi"/>
      <w:b/>
      <w:bCs/>
      <w:color w:val="000000" w:themeColor="text1"/>
      <w:sz w:val="32"/>
      <w:szCs w:val="32"/>
    </w:rPr>
  </w:style>
  <w:style w:type="character" w:customStyle="1" w:styleId="Heading2Char">
    <w:name w:val="Heading 2 Char"/>
    <w:basedOn w:val="DefaultParagraphFont"/>
    <w:link w:val="Heading2"/>
    <w:uiPriority w:val="9"/>
    <w:rsid w:val="004E3A79"/>
    <w:rPr>
      <w:rFonts w:asciiTheme="majorBidi" w:eastAsiaTheme="majorEastAsia" w:hAnsiTheme="majorBidi" w:cstheme="majorBidi"/>
      <w:b/>
      <w:sz w:val="28"/>
      <w:szCs w:val="24"/>
    </w:rPr>
  </w:style>
  <w:style w:type="character" w:customStyle="1" w:styleId="Heading3Char">
    <w:name w:val="Heading 3 Char"/>
    <w:basedOn w:val="DefaultParagraphFont"/>
    <w:link w:val="Heading3"/>
    <w:uiPriority w:val="9"/>
    <w:rsid w:val="004E3A79"/>
    <w:rPr>
      <w:rFonts w:asciiTheme="majorBidi" w:eastAsiaTheme="majorEastAsia" w:hAnsiTheme="majorBidi" w:cstheme="majorBidi"/>
      <w:b/>
      <w:bCs/>
    </w:rPr>
  </w:style>
  <w:style w:type="character" w:customStyle="1" w:styleId="Heading4Char">
    <w:name w:val="Heading 4 Char"/>
    <w:basedOn w:val="DefaultParagraphFont"/>
    <w:link w:val="Heading4"/>
    <w:uiPriority w:val="9"/>
    <w:rsid w:val="00A55640"/>
    <w:rPr>
      <w:rFonts w:asciiTheme="majorBidi" w:hAnsiTheme="majorBidi" w:cstheme="majorBidi"/>
      <w:bCs/>
      <w:i/>
      <w:iCs/>
      <w:szCs w:val="24"/>
    </w:rPr>
  </w:style>
  <w:style w:type="character" w:customStyle="1" w:styleId="Heading5Char">
    <w:name w:val="Heading 5 Char"/>
    <w:basedOn w:val="DefaultParagraphFont"/>
    <w:link w:val="Heading5"/>
    <w:uiPriority w:val="9"/>
    <w:rsid w:val="00E84E9F"/>
    <w:rPr>
      <w:rFonts w:asciiTheme="majorBidi" w:eastAsiaTheme="majorEastAsia" w:hAnsiTheme="majorBidi" w:cstheme="majorBidi"/>
      <w:b/>
      <w:szCs w:val="24"/>
    </w:rPr>
  </w:style>
  <w:style w:type="character" w:customStyle="1" w:styleId="Heading6Char">
    <w:name w:val="Heading 6 Char"/>
    <w:basedOn w:val="DefaultParagraphFont"/>
    <w:link w:val="Heading6"/>
    <w:uiPriority w:val="9"/>
    <w:rsid w:val="000A0976"/>
    <w:rPr>
      <w:rFonts w:asciiTheme="majorBidi" w:eastAsiaTheme="majorEastAsia" w:hAnsiTheme="majorBidi" w:cstheme="majorBidi"/>
      <w:b/>
      <w:szCs w:val="24"/>
    </w:rPr>
  </w:style>
  <w:style w:type="character" w:customStyle="1" w:styleId="Heading7Char">
    <w:name w:val="Heading 7 Char"/>
    <w:basedOn w:val="DefaultParagraphFont"/>
    <w:link w:val="Heading7"/>
    <w:uiPriority w:val="9"/>
    <w:rsid w:val="00014523"/>
    <w:rPr>
      <w:rFonts w:asciiTheme="majorBidi" w:eastAsiaTheme="majorEastAsia" w:hAnsiTheme="majorBidi" w:cstheme="majorBidi"/>
      <w:b/>
      <w:iCs/>
      <w:szCs w:val="24"/>
    </w:rPr>
  </w:style>
  <w:style w:type="character" w:customStyle="1" w:styleId="Heading8Char">
    <w:name w:val="Heading 8 Char"/>
    <w:basedOn w:val="DefaultParagraphFont"/>
    <w:link w:val="Heading8"/>
    <w:uiPriority w:val="9"/>
    <w:rsid w:val="007B14C2"/>
    <w:rPr>
      <w:rFonts w:asciiTheme="majorBidi" w:eastAsiaTheme="majorEastAsia" w:hAnsiTheme="majorBidi" w:cstheme="majorBidi"/>
      <w:b/>
      <w:color w:val="272727" w:themeColor="text1" w:themeTint="D8"/>
      <w:sz w:val="28"/>
      <w:szCs w:val="21"/>
    </w:rPr>
  </w:style>
  <w:style w:type="paragraph" w:styleId="FootnoteText">
    <w:name w:val="footnote text"/>
    <w:basedOn w:val="Normal"/>
    <w:link w:val="FootnoteTextChar"/>
    <w:uiPriority w:val="99"/>
    <w:unhideWhenUsed/>
    <w:rsid w:val="006361CE"/>
    <w:rPr>
      <w:rFonts w:cstheme="minorBidi"/>
      <w:sz w:val="20"/>
      <w:szCs w:val="20"/>
    </w:rPr>
  </w:style>
  <w:style w:type="character" w:customStyle="1" w:styleId="FootnoteTextChar">
    <w:name w:val="Footnote Text Char"/>
    <w:basedOn w:val="DefaultParagraphFont"/>
    <w:link w:val="FootnoteText"/>
    <w:uiPriority w:val="99"/>
    <w:rsid w:val="006361CE"/>
    <w:rPr>
      <w:rFonts w:asciiTheme="majorBidi" w:hAnsiTheme="majorBidi"/>
      <w:sz w:val="20"/>
      <w:szCs w:val="20"/>
    </w:rPr>
  </w:style>
  <w:style w:type="paragraph" w:styleId="Caption">
    <w:name w:val="caption"/>
    <w:basedOn w:val="Normal"/>
    <w:next w:val="Normal"/>
    <w:autoRedefine/>
    <w:uiPriority w:val="35"/>
    <w:unhideWhenUsed/>
    <w:qFormat/>
    <w:rsid w:val="00801834"/>
    <w:pPr>
      <w:jc w:val="center"/>
    </w:pPr>
    <w:rPr>
      <w:b/>
      <w:bCs/>
      <w:iCs/>
      <w:sz w:val="20"/>
      <w:szCs w:val="22"/>
    </w:rPr>
  </w:style>
  <w:style w:type="paragraph" w:styleId="Footer">
    <w:name w:val="footer"/>
    <w:basedOn w:val="Normal"/>
    <w:link w:val="FooterChar"/>
    <w:autoRedefine/>
    <w:uiPriority w:val="99"/>
    <w:unhideWhenUsed/>
    <w:rsid w:val="004E3A79"/>
    <w:pPr>
      <w:widowControl w:val="0"/>
      <w:pBdr>
        <w:top w:val="single" w:sz="4" w:space="1" w:color="auto"/>
      </w:pBdr>
      <w:tabs>
        <w:tab w:val="center" w:pos="4513"/>
        <w:tab w:val="right" w:pos="7371"/>
        <w:tab w:val="right" w:pos="9026"/>
      </w:tabs>
      <w:ind w:right="-10"/>
      <w:jc w:val="right"/>
    </w:pPr>
    <w:rPr>
      <w:rFonts w:ascii="Times New Roman" w:hAnsi="Times New Roman" w:cs="Times New Roman"/>
      <w:b/>
      <w:sz w:val="20"/>
      <w:szCs w:val="20"/>
    </w:rPr>
  </w:style>
  <w:style w:type="character" w:customStyle="1" w:styleId="FooterChar">
    <w:name w:val="Footer Char"/>
    <w:basedOn w:val="DefaultParagraphFont"/>
    <w:link w:val="Footer"/>
    <w:uiPriority w:val="99"/>
    <w:qFormat/>
    <w:rsid w:val="004E3A79"/>
    <w:rPr>
      <w:rFonts w:ascii="Times New Roman" w:hAnsi="Times New Roman" w:cs="Times New Roman"/>
      <w:b/>
      <w:sz w:val="20"/>
      <w:szCs w:val="20"/>
    </w:rPr>
  </w:style>
  <w:style w:type="paragraph" w:customStyle="1" w:styleId="EndNoteBibliographyTitle">
    <w:name w:val="EndNote Bibliography Title"/>
    <w:basedOn w:val="Normal"/>
    <w:link w:val="EndNoteBibliographyTitleChar"/>
    <w:rsid w:val="00C66E3F"/>
    <w:pPr>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C66E3F"/>
    <w:rPr>
      <w:rFonts w:ascii="Times New Roman" w:hAnsi="Times New Roman" w:cs="Times New Roman"/>
      <w:noProof/>
      <w:sz w:val="24"/>
      <w:szCs w:val="24"/>
      <w:lang w:val="en-US"/>
    </w:rPr>
  </w:style>
  <w:style w:type="paragraph" w:customStyle="1" w:styleId="EndNoteBibliography">
    <w:name w:val="EndNote Bibliography"/>
    <w:basedOn w:val="Normal"/>
    <w:link w:val="EndNoteBibliographyChar"/>
    <w:rsid w:val="00C66E3F"/>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C66E3F"/>
    <w:rPr>
      <w:rFonts w:ascii="Times New Roman" w:hAnsi="Times New Roman" w:cs="Times New Roman"/>
      <w:noProof/>
      <w:sz w:val="24"/>
      <w:szCs w:val="24"/>
      <w:lang w:val="en-US"/>
    </w:rPr>
  </w:style>
  <w:style w:type="paragraph" w:styleId="NoSpacing">
    <w:name w:val="No Spacing"/>
    <w:uiPriority w:val="1"/>
    <w:qFormat/>
    <w:rsid w:val="00C66E3F"/>
    <w:pPr>
      <w:spacing w:after="0" w:line="240" w:lineRule="auto"/>
      <w:jc w:val="both"/>
    </w:pPr>
    <w:rPr>
      <w:rFonts w:asciiTheme="majorBidi" w:hAnsiTheme="majorBidi" w:cstheme="majorBidi"/>
      <w:sz w:val="24"/>
      <w:szCs w:val="24"/>
    </w:rPr>
  </w:style>
  <w:style w:type="paragraph" w:styleId="Header">
    <w:name w:val="header"/>
    <w:basedOn w:val="Normal"/>
    <w:link w:val="HeaderChar"/>
    <w:uiPriority w:val="99"/>
    <w:unhideWhenUsed/>
    <w:rsid w:val="005F288B"/>
    <w:pPr>
      <w:tabs>
        <w:tab w:val="center" w:pos="4513"/>
        <w:tab w:val="right" w:pos="9026"/>
      </w:tabs>
    </w:pPr>
  </w:style>
  <w:style w:type="character" w:customStyle="1" w:styleId="HeaderChar">
    <w:name w:val="Header Char"/>
    <w:basedOn w:val="DefaultParagraphFont"/>
    <w:link w:val="Header"/>
    <w:uiPriority w:val="99"/>
    <w:qFormat/>
    <w:rsid w:val="005F288B"/>
    <w:rPr>
      <w:rFonts w:asciiTheme="majorBidi" w:hAnsiTheme="majorBidi" w:cstheme="majorBidi"/>
      <w:sz w:val="24"/>
      <w:szCs w:val="24"/>
    </w:rPr>
  </w:style>
  <w:style w:type="character" w:styleId="FootnoteReference">
    <w:name w:val="footnote reference"/>
    <w:basedOn w:val="DefaultParagraphFont"/>
    <w:uiPriority w:val="99"/>
    <w:unhideWhenUsed/>
    <w:rsid w:val="00D7615E"/>
    <w:rPr>
      <w:vertAlign w:val="superscript"/>
    </w:rPr>
  </w:style>
  <w:style w:type="paragraph" w:styleId="DocumentMap">
    <w:name w:val="Document Map"/>
    <w:basedOn w:val="Normal"/>
    <w:link w:val="DocumentMapChar"/>
    <w:uiPriority w:val="99"/>
    <w:semiHidden/>
    <w:unhideWhenUsed/>
    <w:rsid w:val="002F71DE"/>
    <w:rPr>
      <w:rFonts w:ascii="Lucida Grande" w:hAnsi="Lucida Grande" w:cs="Lucida Grande"/>
    </w:rPr>
  </w:style>
  <w:style w:type="character" w:customStyle="1" w:styleId="DocumentMapChar">
    <w:name w:val="Document Map Char"/>
    <w:basedOn w:val="DefaultParagraphFont"/>
    <w:link w:val="DocumentMap"/>
    <w:uiPriority w:val="99"/>
    <w:semiHidden/>
    <w:rsid w:val="002F71DE"/>
    <w:rPr>
      <w:rFonts w:ascii="Lucida Grande" w:hAnsi="Lucida Grande" w:cs="Lucida Grande"/>
      <w:sz w:val="24"/>
      <w:szCs w:val="24"/>
    </w:rPr>
  </w:style>
  <w:style w:type="character" w:styleId="Hyperlink">
    <w:name w:val="Hyperlink"/>
    <w:basedOn w:val="DefaultParagraphFont"/>
    <w:uiPriority w:val="99"/>
    <w:unhideWhenUsed/>
    <w:rsid w:val="00FC5F8F"/>
    <w:rPr>
      <w:color w:val="0563C1" w:themeColor="hyperlink"/>
      <w:u w:val="single"/>
    </w:rPr>
  </w:style>
  <w:style w:type="character" w:customStyle="1" w:styleId="UnresolvedMention1">
    <w:name w:val="Unresolved Mention1"/>
    <w:basedOn w:val="DefaultParagraphFont"/>
    <w:uiPriority w:val="99"/>
    <w:semiHidden/>
    <w:unhideWhenUsed/>
    <w:rsid w:val="00FC5F8F"/>
    <w:rPr>
      <w:color w:val="808080"/>
      <w:shd w:val="clear" w:color="auto" w:fill="E6E6E6"/>
    </w:rPr>
  </w:style>
  <w:style w:type="table" w:styleId="TableGrid">
    <w:name w:val="Table Grid"/>
    <w:basedOn w:val="TableNormal"/>
    <w:uiPriority w:val="39"/>
    <w:rsid w:val="00500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F4"/>
    <w:rPr>
      <w:sz w:val="16"/>
      <w:szCs w:val="16"/>
    </w:rPr>
  </w:style>
  <w:style w:type="paragraph" w:styleId="CommentText">
    <w:name w:val="annotation text"/>
    <w:basedOn w:val="Normal"/>
    <w:link w:val="CommentTextChar"/>
    <w:uiPriority w:val="99"/>
    <w:unhideWhenUsed/>
    <w:rsid w:val="00262CF4"/>
    <w:rPr>
      <w:sz w:val="20"/>
      <w:szCs w:val="20"/>
    </w:rPr>
  </w:style>
  <w:style w:type="character" w:customStyle="1" w:styleId="CommentTextChar">
    <w:name w:val="Comment Text Char"/>
    <w:basedOn w:val="DefaultParagraphFont"/>
    <w:link w:val="CommentText"/>
    <w:uiPriority w:val="99"/>
    <w:rsid w:val="00262CF4"/>
    <w:rPr>
      <w:rFonts w:asciiTheme="majorBidi" w:hAnsiTheme="majorBidi" w:cstheme="majorBidi"/>
      <w:sz w:val="20"/>
      <w:szCs w:val="20"/>
    </w:rPr>
  </w:style>
  <w:style w:type="paragraph" w:styleId="CommentSubject">
    <w:name w:val="annotation subject"/>
    <w:basedOn w:val="CommentText"/>
    <w:next w:val="CommentText"/>
    <w:link w:val="CommentSubjectChar"/>
    <w:uiPriority w:val="99"/>
    <w:semiHidden/>
    <w:unhideWhenUsed/>
    <w:rsid w:val="00262CF4"/>
    <w:rPr>
      <w:b/>
      <w:bCs/>
    </w:rPr>
  </w:style>
  <w:style w:type="character" w:customStyle="1" w:styleId="CommentSubjectChar">
    <w:name w:val="Comment Subject Char"/>
    <w:basedOn w:val="CommentTextChar"/>
    <w:link w:val="CommentSubject"/>
    <w:uiPriority w:val="99"/>
    <w:semiHidden/>
    <w:rsid w:val="00262CF4"/>
    <w:rPr>
      <w:rFonts w:asciiTheme="majorBidi" w:hAnsiTheme="majorBidi" w:cstheme="majorBidi"/>
      <w:b/>
      <w:bCs/>
      <w:sz w:val="20"/>
      <w:szCs w:val="20"/>
    </w:rPr>
  </w:style>
  <w:style w:type="paragraph" w:styleId="BalloonText">
    <w:name w:val="Balloon Text"/>
    <w:basedOn w:val="Normal"/>
    <w:link w:val="BalloonTextChar"/>
    <w:uiPriority w:val="99"/>
    <w:semiHidden/>
    <w:unhideWhenUsed/>
    <w:rsid w:val="00262C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CF4"/>
    <w:rPr>
      <w:rFonts w:ascii="Segoe UI" w:hAnsi="Segoe UI" w:cs="Segoe UI"/>
      <w:sz w:val="18"/>
      <w:szCs w:val="18"/>
    </w:rPr>
  </w:style>
  <w:style w:type="paragraph" w:styleId="ListParagraph">
    <w:name w:val="List Paragraph"/>
    <w:basedOn w:val="Normal"/>
    <w:uiPriority w:val="34"/>
    <w:qFormat/>
    <w:rsid w:val="00EB3262"/>
    <w:pPr>
      <w:ind w:left="720"/>
      <w:contextualSpacing/>
    </w:pPr>
  </w:style>
  <w:style w:type="character" w:customStyle="1" w:styleId="UnresolvedMention2">
    <w:name w:val="Unresolved Mention2"/>
    <w:basedOn w:val="DefaultParagraphFont"/>
    <w:uiPriority w:val="99"/>
    <w:semiHidden/>
    <w:unhideWhenUsed/>
    <w:rsid w:val="006E682A"/>
    <w:rPr>
      <w:color w:val="605E5C"/>
      <w:shd w:val="clear" w:color="auto" w:fill="E1DFDD"/>
    </w:rPr>
  </w:style>
  <w:style w:type="table" w:customStyle="1" w:styleId="TableGrid2">
    <w:name w:val="Table Grid2"/>
    <w:basedOn w:val="TableNormal"/>
    <w:next w:val="TableGrid"/>
    <w:uiPriority w:val="39"/>
    <w:rsid w:val="0090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7581"/>
    <w:pPr>
      <w:spacing w:after="0" w:line="240" w:lineRule="auto"/>
    </w:pPr>
    <w:rPr>
      <w:rFonts w:asciiTheme="majorBidi" w:hAnsiTheme="majorBidi" w:cstheme="majorBidi"/>
      <w:sz w:val="24"/>
      <w:szCs w:val="24"/>
    </w:rPr>
  </w:style>
  <w:style w:type="character" w:customStyle="1" w:styleId="UnresolvedMention3">
    <w:name w:val="Unresolved Mention3"/>
    <w:basedOn w:val="DefaultParagraphFont"/>
    <w:uiPriority w:val="99"/>
    <w:semiHidden/>
    <w:unhideWhenUsed/>
    <w:rsid w:val="00877581"/>
    <w:rPr>
      <w:color w:val="605E5C"/>
      <w:shd w:val="clear" w:color="auto" w:fill="E1DFDD"/>
    </w:rPr>
  </w:style>
  <w:style w:type="paragraph" w:styleId="EndnoteText">
    <w:name w:val="endnote text"/>
    <w:basedOn w:val="Normal"/>
    <w:link w:val="EndnoteTextChar"/>
    <w:uiPriority w:val="99"/>
    <w:unhideWhenUsed/>
    <w:rsid w:val="00383265"/>
    <w:rPr>
      <w:sz w:val="20"/>
      <w:szCs w:val="20"/>
    </w:rPr>
  </w:style>
  <w:style w:type="character" w:customStyle="1" w:styleId="EndnoteTextChar">
    <w:name w:val="Endnote Text Char"/>
    <w:basedOn w:val="DefaultParagraphFont"/>
    <w:link w:val="EndnoteText"/>
    <w:uiPriority w:val="99"/>
    <w:rsid w:val="00383265"/>
    <w:rPr>
      <w:rFonts w:asciiTheme="majorBidi" w:hAnsiTheme="majorBidi" w:cstheme="majorBidi"/>
      <w:sz w:val="20"/>
      <w:szCs w:val="20"/>
    </w:rPr>
  </w:style>
  <w:style w:type="character" w:styleId="EndnoteReference">
    <w:name w:val="endnote reference"/>
    <w:basedOn w:val="DefaultParagraphFont"/>
    <w:uiPriority w:val="99"/>
    <w:semiHidden/>
    <w:unhideWhenUsed/>
    <w:rsid w:val="00383265"/>
    <w:rPr>
      <w:vertAlign w:val="superscript"/>
    </w:rPr>
  </w:style>
  <w:style w:type="table" w:customStyle="1" w:styleId="TableGrid1">
    <w:name w:val="Table Grid1"/>
    <w:basedOn w:val="TableNormal"/>
    <w:next w:val="TableGrid"/>
    <w:uiPriority w:val="59"/>
    <w:rsid w:val="00B279C5"/>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E348A"/>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9C1ADE"/>
    <w:rPr>
      <w:color w:val="605E5C"/>
      <w:shd w:val="clear" w:color="auto" w:fill="E1DFDD"/>
    </w:rPr>
  </w:style>
  <w:style w:type="character" w:styleId="FollowedHyperlink">
    <w:name w:val="FollowedHyperlink"/>
    <w:basedOn w:val="DefaultParagraphFont"/>
    <w:uiPriority w:val="99"/>
    <w:semiHidden/>
    <w:unhideWhenUsed/>
    <w:rsid w:val="00D902A9"/>
    <w:rPr>
      <w:color w:val="954F72" w:themeColor="followedHyperlink"/>
      <w:u w:val="single"/>
    </w:rPr>
  </w:style>
  <w:style w:type="paragraph" w:customStyle="1" w:styleId="Default">
    <w:name w:val="Default"/>
    <w:rsid w:val="00786D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68B1DB1-Normal14">
    <w:name w:val="P68B1DB1-Normal14"/>
    <w:basedOn w:val="Normal"/>
    <w:rsid w:val="00D340C7"/>
    <w:pPr>
      <w:jc w:val="left"/>
    </w:pPr>
    <w:rPr>
      <w:rFonts w:asciiTheme="minorHAnsi" w:hAnsiTheme="minorHAnsi" w:cstheme="minorHAnsi"/>
      <w:b/>
      <w:kern w:val="2"/>
      <w:sz w:val="20"/>
      <w:szCs w:val="20"/>
      <w:lang w:val="ro"/>
    </w:rPr>
  </w:style>
  <w:style w:type="paragraph" w:customStyle="1" w:styleId="P68B1DB1-Normal15">
    <w:name w:val="P68B1DB1-Normal15"/>
    <w:basedOn w:val="Normal"/>
    <w:rsid w:val="00D340C7"/>
    <w:pPr>
      <w:jc w:val="left"/>
    </w:pPr>
    <w:rPr>
      <w:rFonts w:asciiTheme="minorHAnsi" w:hAnsiTheme="minorHAnsi" w:cstheme="minorHAnsi"/>
      <w:kern w:val="2"/>
      <w:sz w:val="20"/>
      <w:szCs w:val="20"/>
      <w:lang w:val="ro"/>
    </w:rPr>
  </w:style>
  <w:style w:type="paragraph" w:customStyle="1" w:styleId="P68B1DB1-Normal16">
    <w:name w:val="P68B1DB1-Normal16"/>
    <w:basedOn w:val="Normal"/>
    <w:rsid w:val="00D340C7"/>
    <w:pPr>
      <w:jc w:val="left"/>
    </w:pPr>
    <w:rPr>
      <w:rFonts w:asciiTheme="minorHAnsi" w:eastAsia="Arial" w:hAnsiTheme="minorHAnsi" w:cstheme="minorHAnsi"/>
      <w:kern w:val="2"/>
      <w:sz w:val="20"/>
      <w:szCs w:val="20"/>
      <w:lang w:val="ro"/>
    </w:rPr>
  </w:style>
  <w:style w:type="character" w:styleId="UnresolvedMention">
    <w:name w:val="Unresolved Mention"/>
    <w:basedOn w:val="DefaultParagraphFont"/>
    <w:uiPriority w:val="99"/>
    <w:semiHidden/>
    <w:unhideWhenUsed/>
    <w:rsid w:val="00AA72A3"/>
    <w:rPr>
      <w:color w:val="605E5C"/>
      <w:shd w:val="clear" w:color="auto" w:fill="E1DFDD"/>
    </w:rPr>
  </w:style>
  <w:style w:type="character" w:styleId="Strong">
    <w:name w:val="Strong"/>
    <w:basedOn w:val="DefaultParagraphFont"/>
    <w:uiPriority w:val="22"/>
    <w:qFormat/>
    <w:rsid w:val="00744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263358">
      <w:bodyDiv w:val="1"/>
      <w:marLeft w:val="0"/>
      <w:marRight w:val="0"/>
      <w:marTop w:val="0"/>
      <w:marBottom w:val="0"/>
      <w:divBdr>
        <w:top w:val="none" w:sz="0" w:space="0" w:color="auto"/>
        <w:left w:val="none" w:sz="0" w:space="0" w:color="auto"/>
        <w:bottom w:val="none" w:sz="0" w:space="0" w:color="auto"/>
        <w:right w:val="none" w:sz="0" w:space="0" w:color="auto"/>
      </w:divBdr>
    </w:div>
    <w:div w:id="507405771">
      <w:bodyDiv w:val="1"/>
      <w:marLeft w:val="0"/>
      <w:marRight w:val="0"/>
      <w:marTop w:val="0"/>
      <w:marBottom w:val="0"/>
      <w:divBdr>
        <w:top w:val="none" w:sz="0" w:space="0" w:color="auto"/>
        <w:left w:val="none" w:sz="0" w:space="0" w:color="auto"/>
        <w:bottom w:val="none" w:sz="0" w:space="0" w:color="auto"/>
        <w:right w:val="none" w:sz="0" w:space="0" w:color="auto"/>
      </w:divBdr>
    </w:div>
    <w:div w:id="550267769">
      <w:bodyDiv w:val="1"/>
      <w:marLeft w:val="0"/>
      <w:marRight w:val="0"/>
      <w:marTop w:val="0"/>
      <w:marBottom w:val="0"/>
      <w:divBdr>
        <w:top w:val="none" w:sz="0" w:space="0" w:color="auto"/>
        <w:left w:val="none" w:sz="0" w:space="0" w:color="auto"/>
        <w:bottom w:val="none" w:sz="0" w:space="0" w:color="auto"/>
        <w:right w:val="none" w:sz="0" w:space="0" w:color="auto"/>
      </w:divBdr>
    </w:div>
    <w:div w:id="995189900">
      <w:bodyDiv w:val="1"/>
      <w:marLeft w:val="0"/>
      <w:marRight w:val="0"/>
      <w:marTop w:val="0"/>
      <w:marBottom w:val="0"/>
      <w:divBdr>
        <w:top w:val="none" w:sz="0" w:space="0" w:color="auto"/>
        <w:left w:val="none" w:sz="0" w:space="0" w:color="auto"/>
        <w:bottom w:val="none" w:sz="0" w:space="0" w:color="auto"/>
        <w:right w:val="none" w:sz="0" w:space="0" w:color="auto"/>
      </w:divBdr>
    </w:div>
    <w:div w:id="1317878987">
      <w:bodyDiv w:val="1"/>
      <w:marLeft w:val="0"/>
      <w:marRight w:val="0"/>
      <w:marTop w:val="0"/>
      <w:marBottom w:val="0"/>
      <w:divBdr>
        <w:top w:val="none" w:sz="0" w:space="0" w:color="auto"/>
        <w:left w:val="none" w:sz="0" w:space="0" w:color="auto"/>
        <w:bottom w:val="none" w:sz="0" w:space="0" w:color="auto"/>
        <w:right w:val="none" w:sz="0" w:space="0" w:color="auto"/>
      </w:divBdr>
    </w:div>
    <w:div w:id="1350595366">
      <w:bodyDiv w:val="1"/>
      <w:marLeft w:val="0"/>
      <w:marRight w:val="0"/>
      <w:marTop w:val="0"/>
      <w:marBottom w:val="0"/>
      <w:divBdr>
        <w:top w:val="none" w:sz="0" w:space="0" w:color="auto"/>
        <w:left w:val="none" w:sz="0" w:space="0" w:color="auto"/>
        <w:bottom w:val="none" w:sz="0" w:space="0" w:color="auto"/>
        <w:right w:val="none" w:sz="0" w:space="0" w:color="auto"/>
      </w:divBdr>
    </w:div>
    <w:div w:id="1866744126">
      <w:bodyDiv w:val="1"/>
      <w:marLeft w:val="0"/>
      <w:marRight w:val="0"/>
      <w:marTop w:val="0"/>
      <w:marBottom w:val="0"/>
      <w:divBdr>
        <w:top w:val="none" w:sz="0" w:space="0" w:color="auto"/>
        <w:left w:val="none" w:sz="0" w:space="0" w:color="auto"/>
        <w:bottom w:val="none" w:sz="0" w:space="0" w:color="auto"/>
        <w:right w:val="none" w:sz="0" w:space="0" w:color="auto"/>
      </w:divBdr>
    </w:div>
    <w:div w:id="1920404901">
      <w:bodyDiv w:val="1"/>
      <w:marLeft w:val="0"/>
      <w:marRight w:val="0"/>
      <w:marTop w:val="0"/>
      <w:marBottom w:val="0"/>
      <w:divBdr>
        <w:top w:val="none" w:sz="0" w:space="0" w:color="auto"/>
        <w:left w:val="none" w:sz="0" w:space="0" w:color="auto"/>
        <w:bottom w:val="none" w:sz="0" w:space="0" w:color="auto"/>
        <w:right w:val="none" w:sz="0" w:space="0" w:color="auto"/>
      </w:divBdr>
    </w:div>
    <w:div w:id="1978140871">
      <w:bodyDiv w:val="1"/>
      <w:marLeft w:val="0"/>
      <w:marRight w:val="0"/>
      <w:marTop w:val="0"/>
      <w:marBottom w:val="0"/>
      <w:divBdr>
        <w:top w:val="none" w:sz="0" w:space="0" w:color="auto"/>
        <w:left w:val="none" w:sz="0" w:space="0" w:color="auto"/>
        <w:bottom w:val="none" w:sz="0" w:space="0" w:color="auto"/>
        <w:right w:val="none" w:sz="0" w:space="0" w:color="auto"/>
      </w:divBdr>
    </w:div>
    <w:div w:id="210889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ofscience.com/wos/author/record/355402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webofscience.com/wos/author/record/1868966"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GEOGRAPHICAL DISTRIBUTION OF COMPANIES</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tx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Sheet2!$E$5:$E$27</c:f>
              <c:strCache>
                <c:ptCount val="23"/>
                <c:pt idx="0">
                  <c:v>Austria</c:v>
                </c:pt>
                <c:pt idx="1">
                  <c:v>Belgium</c:v>
                </c:pt>
                <c:pt idx="2">
                  <c:v>Cyprus</c:v>
                </c:pt>
                <c:pt idx="3">
                  <c:v>Czech Republic</c:v>
                </c:pt>
                <c:pt idx="4">
                  <c:v>Denmark</c:v>
                </c:pt>
                <c:pt idx="5">
                  <c:v>Finland</c:v>
                </c:pt>
                <c:pt idx="6">
                  <c:v>France</c:v>
                </c:pt>
                <c:pt idx="7">
                  <c:v>Germany</c:v>
                </c:pt>
                <c:pt idx="8">
                  <c:v>Greece</c:v>
                </c:pt>
                <c:pt idx="9">
                  <c:v>Hungary</c:v>
                </c:pt>
                <c:pt idx="10">
                  <c:v>Ireland</c:v>
                </c:pt>
                <c:pt idx="11">
                  <c:v>Italy</c:v>
                </c:pt>
                <c:pt idx="12">
                  <c:v>Luxembourg</c:v>
                </c:pt>
                <c:pt idx="13">
                  <c:v>Netherlands</c:v>
                </c:pt>
                <c:pt idx="14">
                  <c:v>Norway</c:v>
                </c:pt>
                <c:pt idx="15">
                  <c:v>Poland</c:v>
                </c:pt>
                <c:pt idx="16">
                  <c:v>Portugal</c:v>
                </c:pt>
                <c:pt idx="17">
                  <c:v>Romania</c:v>
                </c:pt>
                <c:pt idx="18">
                  <c:v>Russia</c:v>
                </c:pt>
                <c:pt idx="19">
                  <c:v>Slovenia</c:v>
                </c:pt>
                <c:pt idx="20">
                  <c:v>Spain</c:v>
                </c:pt>
                <c:pt idx="21">
                  <c:v>Sweden</c:v>
                </c:pt>
                <c:pt idx="22">
                  <c:v>Switzerland</c:v>
                </c:pt>
              </c:strCache>
            </c:strRef>
          </c:cat>
          <c:val>
            <c:numRef>
              <c:f>Sheet2!$F$5:$F$27</c:f>
              <c:numCache>
                <c:formatCode>General</c:formatCode>
                <c:ptCount val="23"/>
                <c:pt idx="0">
                  <c:v>19</c:v>
                </c:pt>
                <c:pt idx="1">
                  <c:v>34</c:v>
                </c:pt>
                <c:pt idx="2">
                  <c:v>1</c:v>
                </c:pt>
                <c:pt idx="3">
                  <c:v>2</c:v>
                </c:pt>
                <c:pt idx="4">
                  <c:v>42</c:v>
                </c:pt>
                <c:pt idx="5">
                  <c:v>56</c:v>
                </c:pt>
                <c:pt idx="6">
                  <c:v>118</c:v>
                </c:pt>
                <c:pt idx="7">
                  <c:v>140</c:v>
                </c:pt>
                <c:pt idx="8">
                  <c:v>18</c:v>
                </c:pt>
                <c:pt idx="9">
                  <c:v>3</c:v>
                </c:pt>
                <c:pt idx="10">
                  <c:v>11</c:v>
                </c:pt>
                <c:pt idx="11">
                  <c:v>47</c:v>
                </c:pt>
                <c:pt idx="12">
                  <c:v>1</c:v>
                </c:pt>
                <c:pt idx="13">
                  <c:v>44</c:v>
                </c:pt>
                <c:pt idx="14">
                  <c:v>32</c:v>
                </c:pt>
                <c:pt idx="15">
                  <c:v>11</c:v>
                </c:pt>
                <c:pt idx="16">
                  <c:v>12</c:v>
                </c:pt>
                <c:pt idx="17">
                  <c:v>2</c:v>
                </c:pt>
                <c:pt idx="18">
                  <c:v>10</c:v>
                </c:pt>
                <c:pt idx="19">
                  <c:v>1</c:v>
                </c:pt>
                <c:pt idx="20">
                  <c:v>54</c:v>
                </c:pt>
                <c:pt idx="21">
                  <c:v>143</c:v>
                </c:pt>
                <c:pt idx="22">
                  <c:v>83</c:v>
                </c:pt>
              </c:numCache>
            </c:numRef>
          </c:val>
          <c:smooth val="0"/>
          <c:extLst>
            <c:ext xmlns:c16="http://schemas.microsoft.com/office/drawing/2014/chart" uri="{C3380CC4-5D6E-409C-BE32-E72D297353CC}">
              <c16:uniqueId val="{00000000-189C-4C64-BE30-E3B30206333F}"/>
            </c:ext>
          </c:extLst>
        </c:ser>
        <c:dLbls>
          <c:dLblPos val="t"/>
          <c:showLegendKey val="0"/>
          <c:showVal val="1"/>
          <c:showCatName val="0"/>
          <c:showSerName val="0"/>
          <c:showPercent val="0"/>
          <c:showBubbleSize val="0"/>
        </c:dLbls>
        <c:smooth val="0"/>
        <c:axId val="433610912"/>
        <c:axId val="433612872"/>
      </c:lineChart>
      <c:catAx>
        <c:axId val="433610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433612872"/>
        <c:crosses val="autoZero"/>
        <c:auto val="1"/>
        <c:lblAlgn val="ctr"/>
        <c:lblOffset val="100"/>
        <c:noMultiLvlLbl val="0"/>
      </c:catAx>
      <c:valAx>
        <c:axId val="433612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6109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A885F-3325-407C-A57E-532332E5F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10498</Words>
  <Characters>59843</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Albu Catalin</dc:creator>
  <cp:lastModifiedBy>RINDASU Sinziana-Maria</cp:lastModifiedBy>
  <cp:revision>2</cp:revision>
  <dcterms:created xsi:type="dcterms:W3CDTF">2026-06-25T10:00:00Z</dcterms:created>
  <dcterms:modified xsi:type="dcterms:W3CDTF">2026-06-25T10:00:00Z</dcterms:modified>
</cp:coreProperties>
</file>